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DDF" w:rsidRPr="00F51DDF" w:rsidRDefault="00F51DDF" w:rsidP="00616088">
      <w:pPr>
        <w:pStyle w:val="Titre3"/>
      </w:pPr>
      <w:r w:rsidRPr="00F51DDF">
        <w:t>RESULTATS DU TIRAGE AU</w:t>
      </w:r>
      <w:r w:rsidR="00F560CB">
        <w:t xml:space="preserve"> SORT ANNEE ACADEMIQUE </w:t>
      </w:r>
      <w:r w:rsidR="009B2694">
        <w:t>20</w:t>
      </w:r>
      <w:r w:rsidR="00A453C4">
        <w:t>18</w:t>
      </w:r>
      <w:r w:rsidR="009B2694">
        <w:t>/20</w:t>
      </w:r>
      <w:r w:rsidR="00A453C4">
        <w:t>19</w:t>
      </w:r>
    </w:p>
    <w:p w:rsidR="00F51DDF" w:rsidRPr="00F51DDF" w:rsidRDefault="00F51DDF" w:rsidP="00F51DDF">
      <w:pPr>
        <w:shd w:val="clear" w:color="auto" w:fill="FFFFFF"/>
        <w:spacing w:after="150"/>
        <w:outlineLvl w:val="2"/>
        <w:rPr>
          <w:rFonts w:ascii="Helvetica" w:eastAsia="Times New Roman" w:hAnsi="Helvetica" w:cs="Helvetica"/>
          <w:b/>
          <w:bCs/>
          <w:color w:val="347399"/>
          <w:sz w:val="21"/>
          <w:szCs w:val="21"/>
        </w:rPr>
      </w:pPr>
      <w:r w:rsidRPr="00F51DDF">
        <w:rPr>
          <w:rFonts w:ascii="Helvetica" w:eastAsia="Times New Roman" w:hAnsi="Helvetica" w:cs="Helvetica"/>
          <w:b/>
          <w:bCs/>
          <w:color w:val="FF0000"/>
          <w:sz w:val="21"/>
          <w:szCs w:val="21"/>
          <w:u w:val="single"/>
        </w:rPr>
        <w:t>Merci de ne pas téléphoner.</w:t>
      </w:r>
    </w:p>
    <w:p w:rsidR="003F46B3" w:rsidRDefault="003F46B3" w:rsidP="003F46B3">
      <w:pPr>
        <w:rPr>
          <w:rFonts w:eastAsia="Times New Roman"/>
        </w:rPr>
      </w:pPr>
    </w:p>
    <w:p w:rsidR="00F51DDF" w:rsidRDefault="00A453C4" w:rsidP="003F46B3">
      <w:pPr>
        <w:rPr>
          <w:rFonts w:eastAsia="Times New Roman"/>
        </w:rPr>
      </w:pPr>
      <w:r>
        <w:rPr>
          <w:rFonts w:eastAsia="Times New Roman"/>
        </w:rPr>
        <w:t>245</w:t>
      </w:r>
      <w:r w:rsidR="00F51DDF" w:rsidRPr="00F51DDF">
        <w:rPr>
          <w:rFonts w:eastAsia="Times New Roman"/>
        </w:rPr>
        <w:t xml:space="preserve"> dossiers ont été déposés. </w:t>
      </w:r>
    </w:p>
    <w:p w:rsidR="003F46B3" w:rsidRPr="00F51DDF" w:rsidRDefault="003F46B3" w:rsidP="00F51DDF">
      <w:pPr>
        <w:shd w:val="clear" w:color="auto" w:fill="FFFFFF"/>
        <w:spacing w:after="75"/>
        <w:rPr>
          <w:rFonts w:ascii="Helvetica" w:eastAsia="Times New Roman" w:hAnsi="Helvetica" w:cs="Helvetica"/>
          <w:color w:val="71797D"/>
          <w:sz w:val="18"/>
          <w:szCs w:val="18"/>
        </w:rPr>
      </w:pPr>
    </w:p>
    <w:p w:rsidR="00F51DDF" w:rsidRPr="00F51DDF" w:rsidRDefault="00F51DDF" w:rsidP="00616088">
      <w:pPr>
        <w:pStyle w:val="Titre3"/>
      </w:pPr>
      <w:r w:rsidRPr="00F51DDF">
        <w:t>Sont acceptés en tant que non</w:t>
      </w:r>
      <w:r w:rsidR="00616088">
        <w:t>-</w:t>
      </w:r>
      <w:proofErr w:type="gramStart"/>
      <w:r w:rsidRPr="00F51DDF">
        <w:t>résidents:</w:t>
      </w:r>
      <w:proofErr w:type="gramEnd"/>
    </w:p>
    <w:p w:rsidR="007A38AB" w:rsidRDefault="007A38AB" w:rsidP="00F51DDF">
      <w:pPr>
        <w:shd w:val="clear" w:color="auto" w:fill="FFFFFF"/>
        <w:spacing w:after="75"/>
        <w:rPr>
          <w:rFonts w:ascii="Helvetica" w:eastAsia="Times New Roman" w:hAnsi="Helvetica" w:cs="Helvetica"/>
          <w:color w:val="71797D"/>
          <w:sz w:val="18"/>
          <w:szCs w:val="18"/>
        </w:rPr>
      </w:pPr>
    </w:p>
    <w:tbl>
      <w:tblPr>
        <w:tblW w:w="6980" w:type="dxa"/>
        <w:tblCellMar>
          <w:left w:w="70" w:type="dxa"/>
          <w:right w:w="70" w:type="dxa"/>
        </w:tblCellMar>
        <w:tblLook w:val="04A0" w:firstRow="1" w:lastRow="0" w:firstColumn="1" w:lastColumn="0" w:noHBand="0" w:noVBand="1"/>
      </w:tblPr>
      <w:tblGrid>
        <w:gridCol w:w="980"/>
        <w:gridCol w:w="220"/>
        <w:gridCol w:w="980"/>
        <w:gridCol w:w="220"/>
        <w:gridCol w:w="980"/>
        <w:gridCol w:w="220"/>
        <w:gridCol w:w="980"/>
        <w:gridCol w:w="220"/>
        <w:gridCol w:w="980"/>
        <w:gridCol w:w="220"/>
        <w:gridCol w:w="980"/>
      </w:tblGrid>
      <w:tr w:rsidR="00616088" w:rsidRPr="00616088" w:rsidTr="00D6213B">
        <w:trPr>
          <w:trHeight w:val="315"/>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156</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197</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188</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45</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236</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172</w:t>
            </w:r>
          </w:p>
        </w:tc>
      </w:tr>
      <w:tr w:rsidR="00616088" w:rsidRPr="00616088" w:rsidTr="00D6213B">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97</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135</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207</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167</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225</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233</w:t>
            </w:r>
          </w:p>
        </w:tc>
      </w:tr>
      <w:tr w:rsidR="00616088" w:rsidRPr="00616088" w:rsidTr="00D6213B">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42</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78</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158</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51</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165</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64</w:t>
            </w:r>
          </w:p>
        </w:tc>
      </w:tr>
      <w:tr w:rsidR="00616088" w:rsidRPr="00616088" w:rsidTr="00D6213B">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174</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203</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11</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238</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229</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46</w:t>
            </w:r>
          </w:p>
        </w:tc>
      </w:tr>
      <w:tr w:rsidR="00616088" w:rsidRPr="00616088" w:rsidTr="00D6213B">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120</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161</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44</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2</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241</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115</w:t>
            </w:r>
          </w:p>
        </w:tc>
      </w:tr>
      <w:tr w:rsidR="00616088" w:rsidRPr="00616088" w:rsidTr="00D6213B">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191</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62</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190</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57</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127</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10</w:t>
            </w:r>
          </w:p>
        </w:tc>
      </w:tr>
      <w:tr w:rsidR="00616088" w:rsidRPr="00616088" w:rsidTr="00D6213B">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50</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59</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130</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245</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159</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40</w:t>
            </w:r>
          </w:p>
        </w:tc>
      </w:tr>
      <w:tr w:rsidR="00616088" w:rsidRPr="00616088" w:rsidTr="00D6213B">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6</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32</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139</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148</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34</w:t>
            </w:r>
          </w:p>
        </w:tc>
        <w:tc>
          <w:tcPr>
            <w:tcW w:w="220" w:type="dxa"/>
            <w:tcBorders>
              <w:top w:val="nil"/>
              <w:left w:val="nil"/>
              <w:bottom w:val="nil"/>
              <w:right w:val="nil"/>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6213B" w:rsidRPr="00616088" w:rsidRDefault="00D6213B" w:rsidP="00D6213B">
            <w:pPr>
              <w:spacing w:after="0"/>
              <w:jc w:val="right"/>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131</w:t>
            </w:r>
          </w:p>
        </w:tc>
      </w:tr>
    </w:tbl>
    <w:p w:rsidR="009B2694" w:rsidRPr="00F51DDF" w:rsidRDefault="009B2694" w:rsidP="00F51DDF">
      <w:pPr>
        <w:shd w:val="clear" w:color="auto" w:fill="FFFFFF"/>
        <w:spacing w:after="75"/>
        <w:rPr>
          <w:rFonts w:ascii="Helvetica" w:eastAsia="Times New Roman" w:hAnsi="Helvetica" w:cs="Helvetica"/>
          <w:color w:val="71797D"/>
          <w:sz w:val="18"/>
          <w:szCs w:val="18"/>
        </w:rPr>
      </w:pPr>
    </w:p>
    <w:p w:rsidR="00F51DDF" w:rsidRPr="003F46B3" w:rsidRDefault="00F51DDF" w:rsidP="00616088">
      <w:pPr>
        <w:rPr>
          <w:rFonts w:eastAsia="Times New Roman"/>
        </w:rPr>
      </w:pPr>
      <w:r w:rsidRPr="00F51DDF">
        <w:rPr>
          <w:rFonts w:eastAsia="Times New Roman"/>
        </w:rPr>
        <w:t>Les étudiants acceptés en tant qu’étudiants non</w:t>
      </w:r>
      <w:r w:rsidR="00616088">
        <w:rPr>
          <w:rFonts w:eastAsia="Times New Roman"/>
        </w:rPr>
        <w:t>-</w:t>
      </w:r>
      <w:r w:rsidRPr="00F51DDF">
        <w:rPr>
          <w:rFonts w:eastAsia="Times New Roman"/>
        </w:rPr>
        <w:t>résidents doivent confirmer leur inscription</w:t>
      </w:r>
      <w:r w:rsidR="00616088" w:rsidRPr="00616088">
        <w:rPr>
          <w:rFonts w:eastAsia="Times New Roman"/>
        </w:rPr>
        <w:t xml:space="preserve"> </w:t>
      </w:r>
      <w:r w:rsidR="00616088">
        <w:rPr>
          <w:rFonts w:eastAsia="Times New Roman"/>
          <w:u w:val="single"/>
        </w:rPr>
        <w:t>pour le vendredi 14</w:t>
      </w:r>
      <w:r w:rsidR="00616088" w:rsidRPr="00F51DDF">
        <w:rPr>
          <w:rFonts w:eastAsia="Times New Roman"/>
          <w:u w:val="single"/>
        </w:rPr>
        <w:t xml:space="preserve"> septembre</w:t>
      </w:r>
      <w:r w:rsidRPr="00F51DDF">
        <w:rPr>
          <w:rFonts w:eastAsia="Times New Roman"/>
        </w:rPr>
        <w:t xml:space="preserve"> en</w:t>
      </w:r>
      <w:r w:rsidR="00616088">
        <w:rPr>
          <w:rFonts w:eastAsia="Times New Roman"/>
        </w:rPr>
        <w:t xml:space="preserve"> s'acquittant des frais d'inscription (835€) et</w:t>
      </w:r>
      <w:r w:rsidRPr="00F51DDF">
        <w:rPr>
          <w:rFonts w:eastAsia="Times New Roman"/>
        </w:rPr>
        <w:t xml:space="preserve"> envoyant un mail à l'adress</w:t>
      </w:r>
      <w:r w:rsidR="003F46B3">
        <w:rPr>
          <w:rFonts w:eastAsia="Times New Roman"/>
        </w:rPr>
        <w:t xml:space="preserve">e </w:t>
      </w:r>
      <w:hyperlink r:id="rId8" w:history="1">
        <w:r w:rsidR="003F46B3" w:rsidRPr="002726BA">
          <w:rPr>
            <w:rStyle w:val="Lienhypertexte"/>
            <w:rFonts w:eastAsia="Times New Roman"/>
            <w14:textFill>
              <w14:solidFill>
                <w14:srgbClr w14:val="0000FF">
                  <w14:lumMod w14:val="75000"/>
                </w14:srgbClr>
              </w14:solidFill>
            </w14:textFill>
          </w:rPr>
          <w:t>secretariat.kine@helb-prigogine.be</w:t>
        </w:r>
      </w:hyperlink>
      <w:r w:rsidR="00616088" w:rsidRPr="00616088">
        <w:rPr>
          <w:rFonts w:eastAsia="Times New Roman"/>
          <w:color w:val="365F91" w:themeColor="accent1" w:themeShade="BF"/>
        </w:rPr>
        <w:t>.</w:t>
      </w:r>
    </w:p>
    <w:p w:rsidR="00F51DDF" w:rsidRPr="00F51DDF" w:rsidRDefault="00F51DDF" w:rsidP="00616088">
      <w:pPr>
        <w:rPr>
          <w:rFonts w:eastAsia="Times New Roman"/>
        </w:rPr>
      </w:pPr>
      <w:r w:rsidRPr="00F51DDF">
        <w:rPr>
          <w:rFonts w:eastAsia="Times New Roman"/>
        </w:rPr>
        <w:t>Une confirmation de votre demande d'inscription ainsi que les modalités de paiement vous seront communiquées par retour de mail.</w:t>
      </w:r>
    </w:p>
    <w:p w:rsidR="00616088" w:rsidRPr="00022FCD" w:rsidRDefault="00F51DDF" w:rsidP="00616088">
      <w:pPr>
        <w:rPr>
          <w:color w:val="auto"/>
        </w:rPr>
      </w:pPr>
      <w:r w:rsidRPr="00F51DDF">
        <w:rPr>
          <w:rFonts w:eastAsia="Times New Roman"/>
        </w:rPr>
        <w:t>L'accueil des première</w:t>
      </w:r>
      <w:r w:rsidR="00F560CB">
        <w:rPr>
          <w:rFonts w:eastAsia="Times New Roman"/>
        </w:rPr>
        <w:t>s années Kiné a lieu le</w:t>
      </w:r>
      <w:r w:rsidR="00C55E7A">
        <w:rPr>
          <w:rFonts w:eastAsia="Times New Roman"/>
        </w:rPr>
        <w:t xml:space="preserve"> </w:t>
      </w:r>
      <w:r w:rsidRPr="00F51DDF">
        <w:rPr>
          <w:rFonts w:eastAsia="Times New Roman"/>
        </w:rPr>
        <w:t>1</w:t>
      </w:r>
      <w:r w:rsidR="00E70F76">
        <w:rPr>
          <w:rFonts w:eastAsia="Times New Roman"/>
        </w:rPr>
        <w:t>4</w:t>
      </w:r>
      <w:r w:rsidRPr="00F51DDF">
        <w:rPr>
          <w:rFonts w:eastAsia="Times New Roman"/>
        </w:rPr>
        <w:t xml:space="preserve"> septembre à 1</w:t>
      </w:r>
      <w:r w:rsidR="00C55E7A">
        <w:rPr>
          <w:rFonts w:eastAsia="Times New Roman"/>
        </w:rPr>
        <w:t>0</w:t>
      </w:r>
      <w:r w:rsidRPr="00F51DDF">
        <w:rPr>
          <w:rFonts w:eastAsia="Times New Roman"/>
        </w:rPr>
        <w:t xml:space="preserve"> h</w:t>
      </w:r>
      <w:r w:rsidR="00C55E7A">
        <w:rPr>
          <w:rFonts w:eastAsia="Times New Roman"/>
        </w:rPr>
        <w:t xml:space="preserve"> 15</w:t>
      </w:r>
      <w:r w:rsidRPr="00F51DDF">
        <w:rPr>
          <w:rFonts w:eastAsia="Times New Roman"/>
        </w:rPr>
        <w:t xml:space="preserve"> </w:t>
      </w:r>
      <w:r w:rsidR="00022FCD">
        <w:t xml:space="preserve">à l’auditoire Nile – Esplanade du </w:t>
      </w:r>
      <w:proofErr w:type="spellStart"/>
      <w:r w:rsidR="00022FCD">
        <w:t>batiment</w:t>
      </w:r>
      <w:proofErr w:type="spellEnd"/>
      <w:r w:rsidR="00022FCD">
        <w:t xml:space="preserve"> P</w:t>
      </w:r>
      <w:r w:rsidR="00E03EDB">
        <w:rPr>
          <w:rFonts w:eastAsia="Times New Roman"/>
        </w:rPr>
        <w:t>.</w:t>
      </w:r>
      <w:r w:rsidR="00616088">
        <w:rPr>
          <w:rFonts w:eastAsia="Times New Roman"/>
        </w:rPr>
        <w:t xml:space="preserve"> </w:t>
      </w:r>
    </w:p>
    <w:p w:rsidR="00616088" w:rsidRDefault="00E70F76" w:rsidP="003F46B3">
      <w:pPr>
        <w:rPr>
          <w:rFonts w:eastAsia="Times New Roman"/>
        </w:rPr>
      </w:pPr>
      <w:r>
        <w:rPr>
          <w:rFonts w:eastAsia="Times New Roman"/>
        </w:rPr>
        <w:t>Les cours débuteront le lundi 1</w:t>
      </w:r>
      <w:r w:rsidR="00C55E7A">
        <w:rPr>
          <w:rFonts w:eastAsia="Times New Roman"/>
        </w:rPr>
        <w:t>7</w:t>
      </w:r>
      <w:r w:rsidR="00F51DDF" w:rsidRPr="00F51DDF">
        <w:rPr>
          <w:rFonts w:eastAsia="Times New Roman"/>
        </w:rPr>
        <w:t xml:space="preserve"> septembre à 8 h 00.</w:t>
      </w:r>
    </w:p>
    <w:p w:rsidR="00022FCD" w:rsidRPr="00F51DDF" w:rsidRDefault="00022FCD" w:rsidP="003F46B3">
      <w:pPr>
        <w:rPr>
          <w:rFonts w:eastAsia="Times New Roman"/>
        </w:rPr>
      </w:pPr>
    </w:p>
    <w:p w:rsidR="00F51DDF" w:rsidRPr="00F51DDF" w:rsidRDefault="00F51DDF" w:rsidP="00C55E7A">
      <w:pPr>
        <w:pStyle w:val="Titre3"/>
      </w:pPr>
      <w:r w:rsidRPr="00F51DDF">
        <w:t xml:space="preserve">Sont refusés (tirés au sort mais dossiers non acceptés </w:t>
      </w:r>
      <w:r w:rsidR="00B02AAF">
        <w:t>lors de</w:t>
      </w:r>
      <w:r w:rsidRPr="00F51DDF">
        <w:t xml:space="preserve"> la vérification</w:t>
      </w:r>
      <w:r w:rsidR="00B02AAF">
        <w:t xml:space="preserve"> des dossiers</w:t>
      </w:r>
      <w:proofErr w:type="gramStart"/>
      <w:r w:rsidRPr="00F51DDF">
        <w:t>):</w:t>
      </w:r>
      <w:proofErr w:type="gramEnd"/>
    </w:p>
    <w:p w:rsidR="00E70F76" w:rsidRDefault="00E70F76" w:rsidP="003F46B3">
      <w:pPr>
        <w:rPr>
          <w:rFonts w:eastAsia="Times New Roman"/>
        </w:rPr>
      </w:pPr>
    </w:p>
    <w:tbl>
      <w:tblPr>
        <w:tblW w:w="8926" w:type="dxa"/>
        <w:tblInd w:w="75" w:type="dxa"/>
        <w:tblCellMar>
          <w:left w:w="70" w:type="dxa"/>
          <w:right w:w="70" w:type="dxa"/>
        </w:tblCellMar>
        <w:tblLook w:val="04A0" w:firstRow="1" w:lastRow="0" w:firstColumn="1" w:lastColumn="0" w:noHBand="0" w:noVBand="1"/>
      </w:tblPr>
      <w:tblGrid>
        <w:gridCol w:w="880"/>
        <w:gridCol w:w="8046"/>
      </w:tblGrid>
      <w:tr w:rsidR="004D4073" w:rsidRPr="004D4073" w:rsidTr="004D4073">
        <w:trPr>
          <w:trHeight w:val="255"/>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4073" w:rsidRPr="00616088" w:rsidRDefault="004D4073" w:rsidP="004D4073">
            <w:pPr>
              <w:spacing w:after="0"/>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Numéro</w:t>
            </w:r>
          </w:p>
        </w:tc>
        <w:tc>
          <w:tcPr>
            <w:tcW w:w="8046" w:type="dxa"/>
            <w:tcBorders>
              <w:top w:val="single" w:sz="4" w:space="0" w:color="auto"/>
              <w:left w:val="nil"/>
              <w:bottom w:val="single" w:sz="4" w:space="0" w:color="auto"/>
              <w:right w:val="single" w:sz="4" w:space="0" w:color="auto"/>
            </w:tcBorders>
            <w:shd w:val="clear" w:color="auto" w:fill="auto"/>
            <w:noWrap/>
            <w:vAlign w:val="center"/>
            <w:hideMark/>
          </w:tcPr>
          <w:p w:rsidR="004D4073" w:rsidRPr="00616088" w:rsidRDefault="004D4073" w:rsidP="004D4073">
            <w:pPr>
              <w:spacing w:after="0"/>
              <w:rPr>
                <w:rFonts w:ascii="Arial" w:eastAsia="Times New Roman" w:hAnsi="Arial" w:cs="Arial"/>
                <w:color w:val="365F91" w:themeColor="accent1" w:themeShade="BF"/>
                <w:szCs w:val="20"/>
              </w:rPr>
            </w:pPr>
            <w:r w:rsidRPr="00616088">
              <w:rPr>
                <w:rFonts w:ascii="Arial" w:eastAsia="Times New Roman" w:hAnsi="Arial" w:cs="Arial"/>
                <w:color w:val="365F91" w:themeColor="accent1" w:themeShade="BF"/>
                <w:szCs w:val="20"/>
              </w:rPr>
              <w:t>Motivation</w:t>
            </w:r>
          </w:p>
        </w:tc>
      </w:tr>
      <w:tr w:rsidR="007128A8" w:rsidRPr="004D4073" w:rsidTr="004D6E54">
        <w:trPr>
          <w:trHeight w:val="510"/>
        </w:trPr>
        <w:tc>
          <w:tcPr>
            <w:tcW w:w="880" w:type="dxa"/>
            <w:tcBorders>
              <w:top w:val="nil"/>
              <w:left w:val="single" w:sz="4" w:space="0" w:color="auto"/>
              <w:bottom w:val="single" w:sz="4" w:space="0" w:color="auto"/>
              <w:right w:val="single" w:sz="4" w:space="0" w:color="auto"/>
            </w:tcBorders>
            <w:shd w:val="clear" w:color="auto" w:fill="auto"/>
            <w:noWrap/>
          </w:tcPr>
          <w:p w:rsidR="007128A8" w:rsidRPr="00616088" w:rsidRDefault="007128A8" w:rsidP="007128A8">
            <w:pPr>
              <w:rPr>
                <w:color w:val="365F91" w:themeColor="accent1" w:themeShade="BF"/>
              </w:rPr>
            </w:pPr>
            <w:r w:rsidRPr="00616088">
              <w:rPr>
                <w:color w:val="365F91" w:themeColor="accent1" w:themeShade="BF"/>
              </w:rPr>
              <w:t>117</w:t>
            </w:r>
          </w:p>
        </w:tc>
        <w:tc>
          <w:tcPr>
            <w:tcW w:w="8046" w:type="dxa"/>
            <w:tcBorders>
              <w:top w:val="nil"/>
              <w:left w:val="nil"/>
              <w:bottom w:val="single" w:sz="4" w:space="0" w:color="auto"/>
              <w:right w:val="single" w:sz="4" w:space="0" w:color="auto"/>
            </w:tcBorders>
            <w:shd w:val="clear" w:color="auto" w:fill="auto"/>
          </w:tcPr>
          <w:p w:rsidR="007128A8" w:rsidRPr="00616088" w:rsidRDefault="007128A8" w:rsidP="007128A8">
            <w:pPr>
              <w:rPr>
                <w:color w:val="365F91" w:themeColor="accent1" w:themeShade="BF"/>
              </w:rPr>
            </w:pPr>
            <w:r w:rsidRPr="00616088">
              <w:rPr>
                <w:color w:val="365F91" w:themeColor="accent1" w:themeShade="BF"/>
              </w:rPr>
              <w:t xml:space="preserve">Dossier </w:t>
            </w:r>
            <w:proofErr w:type="gramStart"/>
            <w:r w:rsidRPr="00616088">
              <w:rPr>
                <w:color w:val="365F91" w:themeColor="accent1" w:themeShade="BF"/>
              </w:rPr>
              <w:t>incomplet:</w:t>
            </w:r>
            <w:proofErr w:type="gramEnd"/>
            <w:r w:rsidRPr="00616088">
              <w:rPr>
                <w:color w:val="365F91" w:themeColor="accent1" w:themeShade="BF"/>
              </w:rPr>
              <w:t xml:space="preserve"> Equivalence provisoire au 15 mai 2018 et pas d'équivalence définitive</w:t>
            </w:r>
            <w:r w:rsidR="00DE3649" w:rsidRPr="00616088">
              <w:rPr>
                <w:color w:val="365F91" w:themeColor="accent1" w:themeShade="BF"/>
              </w:rPr>
              <w:t>.</w:t>
            </w:r>
            <w:r w:rsidR="000D3EAB" w:rsidRPr="00616088">
              <w:rPr>
                <w:color w:val="365F91" w:themeColor="accent1" w:themeShade="BF"/>
              </w:rPr>
              <w:t xml:space="preserve"> L'inscription est refusée.</w:t>
            </w:r>
          </w:p>
        </w:tc>
      </w:tr>
      <w:tr w:rsidR="007128A8" w:rsidRPr="004D4073" w:rsidTr="004D6E54">
        <w:trPr>
          <w:trHeight w:val="255"/>
        </w:trPr>
        <w:tc>
          <w:tcPr>
            <w:tcW w:w="880" w:type="dxa"/>
            <w:tcBorders>
              <w:top w:val="nil"/>
              <w:left w:val="single" w:sz="4" w:space="0" w:color="auto"/>
              <w:bottom w:val="single" w:sz="4" w:space="0" w:color="auto"/>
              <w:right w:val="single" w:sz="4" w:space="0" w:color="auto"/>
            </w:tcBorders>
            <w:shd w:val="clear" w:color="auto" w:fill="auto"/>
            <w:noWrap/>
          </w:tcPr>
          <w:p w:rsidR="007128A8" w:rsidRPr="00616088" w:rsidRDefault="007128A8" w:rsidP="007128A8">
            <w:pPr>
              <w:rPr>
                <w:color w:val="365F91" w:themeColor="accent1" w:themeShade="BF"/>
              </w:rPr>
            </w:pPr>
            <w:r w:rsidRPr="00616088">
              <w:rPr>
                <w:color w:val="365F91" w:themeColor="accent1" w:themeShade="BF"/>
              </w:rPr>
              <w:t>217</w:t>
            </w:r>
          </w:p>
        </w:tc>
        <w:tc>
          <w:tcPr>
            <w:tcW w:w="8046" w:type="dxa"/>
            <w:tcBorders>
              <w:top w:val="nil"/>
              <w:left w:val="nil"/>
              <w:bottom w:val="single" w:sz="4" w:space="0" w:color="auto"/>
              <w:right w:val="single" w:sz="4" w:space="0" w:color="auto"/>
            </w:tcBorders>
            <w:shd w:val="clear" w:color="auto" w:fill="auto"/>
          </w:tcPr>
          <w:p w:rsidR="007128A8" w:rsidRPr="00616088" w:rsidRDefault="007128A8" w:rsidP="007128A8">
            <w:pPr>
              <w:rPr>
                <w:color w:val="365F91" w:themeColor="accent1" w:themeShade="BF"/>
              </w:rPr>
            </w:pPr>
            <w:r w:rsidRPr="00616088">
              <w:rPr>
                <w:color w:val="365F91" w:themeColor="accent1" w:themeShade="BF"/>
              </w:rPr>
              <w:t xml:space="preserve">Dossier </w:t>
            </w:r>
            <w:proofErr w:type="gramStart"/>
            <w:r w:rsidRPr="00616088">
              <w:rPr>
                <w:color w:val="365F91" w:themeColor="accent1" w:themeShade="BF"/>
              </w:rPr>
              <w:t>incomplet:</w:t>
            </w:r>
            <w:proofErr w:type="gramEnd"/>
            <w:r w:rsidRPr="00616088">
              <w:rPr>
                <w:color w:val="365F91" w:themeColor="accent1" w:themeShade="BF"/>
              </w:rPr>
              <w:t xml:space="preserve"> Paiement et demande d'équivalence après le 15/07, l'équivalence ne pourra pas être délivrée.</w:t>
            </w:r>
            <w:r w:rsidR="000D3EAB" w:rsidRPr="00616088">
              <w:rPr>
                <w:color w:val="365F91" w:themeColor="accent1" w:themeShade="BF"/>
              </w:rPr>
              <w:t xml:space="preserve"> L'inscription est refusée.</w:t>
            </w:r>
          </w:p>
        </w:tc>
      </w:tr>
      <w:tr w:rsidR="007128A8" w:rsidRPr="004D4073" w:rsidTr="004D6E54">
        <w:trPr>
          <w:trHeight w:val="510"/>
        </w:trPr>
        <w:tc>
          <w:tcPr>
            <w:tcW w:w="880" w:type="dxa"/>
            <w:tcBorders>
              <w:top w:val="nil"/>
              <w:left w:val="single" w:sz="4" w:space="0" w:color="auto"/>
              <w:bottom w:val="single" w:sz="4" w:space="0" w:color="auto"/>
              <w:right w:val="single" w:sz="4" w:space="0" w:color="auto"/>
            </w:tcBorders>
            <w:shd w:val="clear" w:color="auto" w:fill="auto"/>
            <w:noWrap/>
          </w:tcPr>
          <w:p w:rsidR="007128A8" w:rsidRPr="00616088" w:rsidRDefault="007128A8" w:rsidP="007128A8">
            <w:pPr>
              <w:rPr>
                <w:color w:val="365F91" w:themeColor="accent1" w:themeShade="BF"/>
              </w:rPr>
            </w:pPr>
            <w:r w:rsidRPr="00616088">
              <w:rPr>
                <w:color w:val="365F91" w:themeColor="accent1" w:themeShade="BF"/>
              </w:rPr>
              <w:t>96</w:t>
            </w:r>
          </w:p>
        </w:tc>
        <w:tc>
          <w:tcPr>
            <w:tcW w:w="8046" w:type="dxa"/>
            <w:tcBorders>
              <w:top w:val="nil"/>
              <w:left w:val="nil"/>
              <w:bottom w:val="single" w:sz="4" w:space="0" w:color="auto"/>
              <w:right w:val="single" w:sz="4" w:space="0" w:color="auto"/>
            </w:tcBorders>
            <w:shd w:val="clear" w:color="auto" w:fill="auto"/>
          </w:tcPr>
          <w:p w:rsidR="007128A8" w:rsidRPr="00616088" w:rsidRDefault="007128A8" w:rsidP="007128A8">
            <w:pPr>
              <w:rPr>
                <w:color w:val="365F91" w:themeColor="accent1" w:themeShade="BF"/>
              </w:rPr>
            </w:pPr>
            <w:r w:rsidRPr="00616088">
              <w:rPr>
                <w:color w:val="365F91" w:themeColor="accent1" w:themeShade="BF"/>
              </w:rPr>
              <w:t xml:space="preserve">Dossier </w:t>
            </w:r>
            <w:proofErr w:type="gramStart"/>
            <w:r w:rsidRPr="00616088">
              <w:rPr>
                <w:color w:val="365F91" w:themeColor="accent1" w:themeShade="BF"/>
              </w:rPr>
              <w:t>incomplet:</w:t>
            </w:r>
            <w:proofErr w:type="gramEnd"/>
            <w:r w:rsidRPr="00616088">
              <w:rPr>
                <w:color w:val="365F91" w:themeColor="accent1" w:themeShade="BF"/>
              </w:rPr>
              <w:t xml:space="preserve"> Paiement et demande d'équivalence après le 15/07, l'équivalence ne pourra pas être délivrée.</w:t>
            </w:r>
            <w:r w:rsidR="000D3EAB" w:rsidRPr="00616088">
              <w:rPr>
                <w:color w:val="365F91" w:themeColor="accent1" w:themeShade="BF"/>
              </w:rPr>
              <w:t xml:space="preserve"> L'inscription est refusée.</w:t>
            </w:r>
          </w:p>
        </w:tc>
      </w:tr>
    </w:tbl>
    <w:p w:rsidR="00E70F76" w:rsidRDefault="00E70F76" w:rsidP="00616088">
      <w:pPr>
        <w:rPr>
          <w:rFonts w:eastAsia="Times New Roman"/>
        </w:rPr>
      </w:pPr>
    </w:p>
    <w:p w:rsidR="00F07184" w:rsidRPr="00616088" w:rsidRDefault="00F51DDF" w:rsidP="00616088">
      <w:pPr>
        <w:rPr>
          <w:rFonts w:eastAsia="Times New Roman"/>
          <w:b/>
          <w:szCs w:val="18"/>
          <w:u w:val="single"/>
        </w:rPr>
      </w:pPr>
      <w:r w:rsidRPr="00616088">
        <w:rPr>
          <w:rFonts w:eastAsia="Times New Roman"/>
          <w:b/>
          <w:u w:val="single"/>
        </w:rPr>
        <w:t>Motivation en droit : </w:t>
      </w:r>
    </w:p>
    <w:p w:rsidR="00F07184" w:rsidRDefault="00F07184" w:rsidP="00616088">
      <w:pPr>
        <w:rPr>
          <w:rFonts w:eastAsia="Times New Roman"/>
          <w:szCs w:val="18"/>
        </w:rPr>
      </w:pPr>
      <w:r w:rsidRPr="00470141">
        <w:rPr>
          <w:rFonts w:eastAsia="Times New Roman"/>
          <w:szCs w:val="18"/>
        </w:rPr>
        <w:t xml:space="preserve">1. </w:t>
      </w:r>
      <w:r w:rsidRPr="00616088">
        <w:rPr>
          <w:rFonts w:eastAsia="Times New Roman"/>
          <w:b/>
          <w:szCs w:val="18"/>
        </w:rPr>
        <w:t xml:space="preserve">Dossier </w:t>
      </w:r>
      <w:proofErr w:type="gramStart"/>
      <w:r w:rsidRPr="00616088">
        <w:rPr>
          <w:rFonts w:eastAsia="Times New Roman"/>
          <w:b/>
          <w:szCs w:val="18"/>
        </w:rPr>
        <w:t>incomplet:</w:t>
      </w:r>
      <w:proofErr w:type="gramEnd"/>
      <w:r>
        <w:rPr>
          <w:rFonts w:eastAsia="Times New Roman"/>
          <w:szCs w:val="18"/>
        </w:rPr>
        <w:t xml:space="preserve"> le participant au tirage au sort n'a pas remis un dossier complet.</w:t>
      </w:r>
    </w:p>
    <w:p w:rsidR="00F51DDF" w:rsidRPr="00F51DDF" w:rsidRDefault="00F51DDF" w:rsidP="00616088">
      <w:pPr>
        <w:rPr>
          <w:rFonts w:eastAsia="Times New Roman"/>
          <w:szCs w:val="18"/>
        </w:rPr>
      </w:pPr>
      <w:r w:rsidRPr="00F51DDF">
        <w:rPr>
          <w:rFonts w:eastAsia="Times New Roman"/>
          <w:szCs w:val="18"/>
        </w:rPr>
        <w:t xml:space="preserve">Un dossier complet est un dossier qui permet à l'institution de vérifier l'admissibilité et la </w:t>
      </w:r>
      <w:proofErr w:type="spellStart"/>
      <w:r w:rsidRPr="00F51DDF">
        <w:rPr>
          <w:rFonts w:eastAsia="Times New Roman"/>
          <w:szCs w:val="18"/>
        </w:rPr>
        <w:t>finançabilité</w:t>
      </w:r>
      <w:proofErr w:type="spellEnd"/>
      <w:r w:rsidRPr="00F51DDF">
        <w:rPr>
          <w:rFonts w:eastAsia="Times New Roman"/>
          <w:szCs w:val="18"/>
        </w:rPr>
        <w:t xml:space="preserve"> de l'étudiant (article 95 du Décret du 7 novembre 2013 définissant le paysage de l’enseignement supérieur et l’organisation</w:t>
      </w:r>
      <w:r w:rsidR="000E69BA">
        <w:rPr>
          <w:rFonts w:eastAsia="Times New Roman"/>
          <w:szCs w:val="18"/>
        </w:rPr>
        <w:t xml:space="preserve"> </w:t>
      </w:r>
      <w:r w:rsidRPr="00F51DDF">
        <w:rPr>
          <w:rFonts w:eastAsia="Times New Roman"/>
          <w:szCs w:val="18"/>
        </w:rPr>
        <w:t>académique des études</w:t>
      </w:r>
      <w:r w:rsidR="004D4073">
        <w:rPr>
          <w:rFonts w:eastAsia="Times New Roman"/>
          <w:szCs w:val="18"/>
        </w:rPr>
        <w:t>)</w:t>
      </w:r>
      <w:r w:rsidRPr="00F51DDF">
        <w:rPr>
          <w:rFonts w:eastAsia="Times New Roman"/>
          <w:szCs w:val="18"/>
        </w:rPr>
        <w:t>. Il contient</w:t>
      </w:r>
    </w:p>
    <w:p w:rsidR="00F51DDF" w:rsidRPr="00F51DDF" w:rsidRDefault="00F51DDF" w:rsidP="00616088">
      <w:pPr>
        <w:ind w:left="708"/>
        <w:rPr>
          <w:rFonts w:eastAsia="Times New Roman"/>
          <w:szCs w:val="18"/>
        </w:rPr>
      </w:pPr>
      <w:r w:rsidRPr="00F51DDF">
        <w:rPr>
          <w:rFonts w:eastAsia="Times New Roman"/>
          <w:szCs w:val="18"/>
        </w:rPr>
        <w:lastRenderedPageBreak/>
        <w:t>1. les documents attestant que l'étudiant a accès aux études visées (articles 107, 117 et 119 du</w:t>
      </w:r>
      <w:r w:rsidR="00DB705A">
        <w:rPr>
          <w:rFonts w:eastAsia="Times New Roman"/>
          <w:szCs w:val="18"/>
        </w:rPr>
        <w:t xml:space="preserve"> </w:t>
      </w:r>
      <w:r w:rsidRPr="00F51DDF">
        <w:rPr>
          <w:rFonts w:eastAsia="Times New Roman"/>
          <w:szCs w:val="18"/>
        </w:rPr>
        <w:t>décret du 7 novembre 2013 définissant le paysage de l’enseignement supérieur et l’organisation</w:t>
      </w:r>
      <w:r w:rsidR="00DB705A">
        <w:rPr>
          <w:rFonts w:eastAsia="Times New Roman"/>
          <w:szCs w:val="18"/>
        </w:rPr>
        <w:t xml:space="preserve"> </w:t>
      </w:r>
      <w:r w:rsidRPr="00F51DDF">
        <w:rPr>
          <w:rFonts w:eastAsia="Times New Roman"/>
          <w:szCs w:val="18"/>
        </w:rPr>
        <w:t>académique des études</w:t>
      </w:r>
      <w:proofErr w:type="gramStart"/>
      <w:r w:rsidRPr="00F51DDF">
        <w:rPr>
          <w:rFonts w:eastAsia="Times New Roman"/>
          <w:szCs w:val="18"/>
        </w:rPr>
        <w:t>)</w:t>
      </w:r>
      <w:r w:rsidR="004D4073">
        <w:rPr>
          <w:rFonts w:eastAsia="Times New Roman"/>
          <w:szCs w:val="18"/>
        </w:rPr>
        <w:t>;</w:t>
      </w:r>
      <w:proofErr w:type="gramEnd"/>
    </w:p>
    <w:p w:rsidR="00F51DDF" w:rsidRPr="00F51DDF" w:rsidRDefault="00F51DDF" w:rsidP="00616088">
      <w:pPr>
        <w:ind w:left="708"/>
        <w:rPr>
          <w:rFonts w:eastAsia="Times New Roman"/>
          <w:szCs w:val="18"/>
        </w:rPr>
      </w:pPr>
      <w:r w:rsidRPr="00F51DDF">
        <w:rPr>
          <w:rFonts w:eastAsia="Times New Roman"/>
          <w:szCs w:val="18"/>
        </w:rPr>
        <w:t>2. les documents permettant à l’établissement de déterminer si l’étudiant entre ou non dans</w:t>
      </w:r>
      <w:r w:rsidR="00DB705A">
        <w:rPr>
          <w:rFonts w:eastAsia="Times New Roman"/>
          <w:szCs w:val="18"/>
        </w:rPr>
        <w:t xml:space="preserve"> </w:t>
      </w:r>
      <w:r w:rsidRPr="00F51DDF">
        <w:rPr>
          <w:rFonts w:eastAsia="Times New Roman"/>
          <w:szCs w:val="18"/>
        </w:rPr>
        <w:t>la catégorie des étudiants finançables (article</w:t>
      </w:r>
      <w:r w:rsidR="00F07184">
        <w:rPr>
          <w:rFonts w:eastAsia="Times New Roman"/>
          <w:szCs w:val="18"/>
        </w:rPr>
        <w:t>s 3</w:t>
      </w:r>
      <w:r w:rsidR="00097547">
        <w:rPr>
          <w:rFonts w:eastAsia="Times New Roman"/>
          <w:szCs w:val="18"/>
        </w:rPr>
        <w:t>, 4</w:t>
      </w:r>
      <w:r w:rsidR="00F07184">
        <w:rPr>
          <w:rFonts w:eastAsia="Times New Roman"/>
          <w:szCs w:val="18"/>
        </w:rPr>
        <w:t xml:space="preserve"> et</w:t>
      </w:r>
      <w:r w:rsidRPr="00F51DDF">
        <w:rPr>
          <w:rFonts w:eastAsia="Times New Roman"/>
          <w:szCs w:val="18"/>
        </w:rPr>
        <w:t xml:space="preserve"> 5 du décret du 11 avril 2014 adaptant le</w:t>
      </w:r>
      <w:r w:rsidR="00DB705A">
        <w:rPr>
          <w:rFonts w:eastAsia="Times New Roman"/>
          <w:szCs w:val="18"/>
        </w:rPr>
        <w:t xml:space="preserve"> </w:t>
      </w:r>
      <w:r w:rsidRPr="00F51DDF">
        <w:rPr>
          <w:rFonts w:eastAsia="Times New Roman"/>
          <w:szCs w:val="18"/>
        </w:rPr>
        <w:t>financement des établissements d’enseignement supérieur à la nouvelle organisation des études</w:t>
      </w:r>
      <w:proofErr w:type="gramStart"/>
      <w:r w:rsidRPr="00F51DDF">
        <w:rPr>
          <w:rFonts w:eastAsia="Times New Roman"/>
          <w:szCs w:val="18"/>
        </w:rPr>
        <w:t>)</w:t>
      </w:r>
      <w:r w:rsidR="004D4073">
        <w:rPr>
          <w:rFonts w:eastAsia="Times New Roman"/>
          <w:szCs w:val="18"/>
        </w:rPr>
        <w:t>;</w:t>
      </w:r>
      <w:proofErr w:type="gramEnd"/>
    </w:p>
    <w:p w:rsidR="00F51DDF" w:rsidRPr="00F51DDF" w:rsidRDefault="00F51DDF" w:rsidP="00616088">
      <w:pPr>
        <w:rPr>
          <w:rFonts w:eastAsia="Times New Roman"/>
          <w:szCs w:val="18"/>
        </w:rPr>
      </w:pPr>
      <w:r w:rsidRPr="00F51DDF">
        <w:rPr>
          <w:rFonts w:eastAsia="Times New Roman"/>
          <w:szCs w:val="18"/>
        </w:rPr>
        <w:t>Lesdit</w:t>
      </w:r>
      <w:r w:rsidR="00F560CB">
        <w:rPr>
          <w:rFonts w:eastAsia="Times New Roman"/>
          <w:szCs w:val="18"/>
        </w:rPr>
        <w:t>s</w:t>
      </w:r>
      <w:r w:rsidRPr="00F51DDF">
        <w:rPr>
          <w:rFonts w:eastAsia="Times New Roman"/>
          <w:szCs w:val="18"/>
        </w:rPr>
        <w:t xml:space="preserve"> documents étaient définis et accessibles sur le site internet de la Haute Ecole en vue de la constitution du dossier.</w:t>
      </w:r>
    </w:p>
    <w:p w:rsidR="00F07184" w:rsidRPr="00DE3649" w:rsidRDefault="00F07184" w:rsidP="00616088">
      <w:pPr>
        <w:rPr>
          <w:rFonts w:eastAsia="Times New Roman"/>
          <w:szCs w:val="18"/>
        </w:rPr>
      </w:pPr>
      <w:r w:rsidRPr="004D4073">
        <w:rPr>
          <w:rFonts w:eastAsia="Times New Roman"/>
        </w:rPr>
        <w:t>2.</w:t>
      </w:r>
      <w:r w:rsidRPr="00616088">
        <w:rPr>
          <w:rFonts w:eastAsia="Times New Roman"/>
          <w:b/>
        </w:rPr>
        <w:t xml:space="preserve"> </w:t>
      </w:r>
      <w:r w:rsidR="00470141" w:rsidRPr="00616088">
        <w:rPr>
          <w:rFonts w:eastAsia="Times New Roman"/>
          <w:b/>
        </w:rPr>
        <w:t>N</w:t>
      </w:r>
      <w:r w:rsidRPr="00616088">
        <w:rPr>
          <w:rFonts w:eastAsia="Times New Roman"/>
          <w:b/>
        </w:rPr>
        <w:t>on finançable en raison de la nationalité:</w:t>
      </w:r>
      <w:r>
        <w:rPr>
          <w:rFonts w:eastAsia="Times New Roman"/>
        </w:rPr>
        <w:t xml:space="preserve"> </w:t>
      </w:r>
      <w:r w:rsidR="00470141">
        <w:rPr>
          <w:rFonts w:eastAsia="Times New Roman"/>
        </w:rPr>
        <w:t>participant au tirage au sort</w:t>
      </w:r>
      <w:r>
        <w:rPr>
          <w:rFonts w:eastAsia="Times New Roman"/>
        </w:rPr>
        <w:t xml:space="preserve"> ne prouvant pas qu'il remplit une des conditions de financement définies à l'article </w:t>
      </w:r>
      <w:r>
        <w:rPr>
          <w:rFonts w:eastAsia="Times New Roman"/>
          <w:szCs w:val="18"/>
        </w:rPr>
        <w:t>3</w:t>
      </w:r>
      <w:r w:rsidRPr="00F51DDF">
        <w:rPr>
          <w:rFonts w:eastAsia="Times New Roman"/>
          <w:szCs w:val="18"/>
        </w:rPr>
        <w:t xml:space="preserve"> du décret du 11 avril 2014 adaptant le</w:t>
      </w:r>
      <w:r>
        <w:rPr>
          <w:rFonts w:eastAsia="Times New Roman"/>
          <w:szCs w:val="18"/>
        </w:rPr>
        <w:t xml:space="preserve"> </w:t>
      </w:r>
      <w:r w:rsidRPr="00F51DDF">
        <w:rPr>
          <w:rFonts w:eastAsia="Times New Roman"/>
          <w:szCs w:val="18"/>
        </w:rPr>
        <w:t>financement des établissements d’enseignement supérieur à la nouvelle organisation des études</w:t>
      </w:r>
      <w:r>
        <w:rPr>
          <w:rFonts w:eastAsia="Times New Roman"/>
          <w:szCs w:val="18"/>
        </w:rPr>
        <w:t xml:space="preserve">, soit: </w:t>
      </w:r>
      <w:r w:rsidRPr="00F07184">
        <w:rPr>
          <w:rFonts w:eastAsia="Times New Roman"/>
        </w:rPr>
        <w:t xml:space="preserve">pour la date limite d’inscription fixée conformément à l’article 101 du décret du 7 novembre 2013 précité, être de nationalité d’un État </w:t>
      </w:r>
      <w:r w:rsidRPr="00DE3649">
        <w:rPr>
          <w:rFonts w:eastAsia="Times New Roman"/>
        </w:rPr>
        <w:t xml:space="preserve">membre de l’Union européenne ou satisfaire au moins une des conditions suivantes : </w:t>
      </w:r>
    </w:p>
    <w:p w:rsidR="00F07184" w:rsidRPr="00DE3649" w:rsidRDefault="00F07184" w:rsidP="00616088">
      <w:pPr>
        <w:ind w:left="708"/>
        <w:rPr>
          <w:rFonts w:eastAsia="Times New Roman"/>
        </w:rPr>
      </w:pPr>
      <w:r w:rsidRPr="00DE3649">
        <w:rPr>
          <w:rFonts w:eastAsia="Times New Roman"/>
        </w:rPr>
        <w:t xml:space="preserve">1° bénéficier d’une autorisation d’établissement ou avoir acquis le statut de résident de longue durée en vertu des dispositions de la loi du 15 décembre 1980 sur l’accès au territoire, le séjour, l’établissement et l’éloignement des </w:t>
      </w:r>
      <w:proofErr w:type="gramStart"/>
      <w:r w:rsidRPr="00DE3649">
        <w:rPr>
          <w:rFonts w:eastAsia="Times New Roman"/>
        </w:rPr>
        <w:t>étrangers;</w:t>
      </w:r>
      <w:proofErr w:type="gramEnd"/>
      <w:r w:rsidRPr="00DE3649">
        <w:rPr>
          <w:rFonts w:eastAsia="Times New Roman"/>
        </w:rPr>
        <w:t xml:space="preserve">  </w:t>
      </w:r>
    </w:p>
    <w:p w:rsidR="00F07184" w:rsidRPr="00DE3649" w:rsidRDefault="00F07184" w:rsidP="00616088">
      <w:pPr>
        <w:ind w:left="708"/>
        <w:rPr>
          <w:rFonts w:eastAsia="Times New Roman"/>
        </w:rPr>
      </w:pPr>
      <w:r w:rsidRPr="00DE3649">
        <w:rPr>
          <w:rFonts w:eastAsia="Times New Roman"/>
        </w:rPr>
        <w:t xml:space="preserve">2° être considéré comme réfugié, apatride ou personne pouvant bénéficier de la protection subsidiaire en vertu des dispositions de la loi du 15 décembre 1980 précitée, ou avoir introduit, sur la base de la même loi, une demande d’asile qui n’a pas encore fait l’objet d’une décision définitive ou un recours en cassation administrative déclaré admissible conformément à l’article 20 des lois sur le Conseil d’Etat, coordonnées  le 12 janvier 1973, et ce jusqu’au moment où un arrêt de rejet du recours admis est prononcé ; </w:t>
      </w:r>
    </w:p>
    <w:p w:rsidR="00F07184" w:rsidRPr="00DE3649" w:rsidRDefault="00F07184" w:rsidP="00616088">
      <w:pPr>
        <w:ind w:left="708"/>
        <w:rPr>
          <w:rFonts w:eastAsia="Times New Roman"/>
        </w:rPr>
      </w:pPr>
      <w:r w:rsidRPr="00DE3649">
        <w:rPr>
          <w:rFonts w:eastAsia="Times New Roman"/>
        </w:rPr>
        <w:t xml:space="preserve">3° être autorisé à séjourner plus de trois mois en Belgique en vertu des dispositions de la loi du 15 décembre 1980 précitée et y exercer une activité professionnelle réelle et effective ou y bénéficier de revenus de </w:t>
      </w:r>
      <w:proofErr w:type="gramStart"/>
      <w:r w:rsidRPr="00DE3649">
        <w:rPr>
          <w:rFonts w:eastAsia="Times New Roman"/>
        </w:rPr>
        <w:t>remplacement;</w:t>
      </w:r>
      <w:proofErr w:type="gramEnd"/>
      <w:r w:rsidRPr="00DE3649">
        <w:rPr>
          <w:rFonts w:eastAsia="Times New Roman"/>
        </w:rPr>
        <w:t xml:space="preserve">  </w:t>
      </w:r>
    </w:p>
    <w:p w:rsidR="00F07184" w:rsidRPr="00DE3649" w:rsidRDefault="00F07184" w:rsidP="00616088">
      <w:pPr>
        <w:ind w:left="708"/>
        <w:rPr>
          <w:rFonts w:eastAsia="Times New Roman"/>
        </w:rPr>
      </w:pPr>
      <w:r w:rsidRPr="00DE3649">
        <w:rPr>
          <w:rFonts w:eastAsia="Times New Roman"/>
        </w:rPr>
        <w:t xml:space="preserve">4° être pris en charge ou entretenu par les centres publics d’action sociale, dans un home qui appartient à ceux-ci ou dans un home auquel il a été </w:t>
      </w:r>
      <w:proofErr w:type="gramStart"/>
      <w:r w:rsidRPr="00DE3649">
        <w:rPr>
          <w:rFonts w:eastAsia="Times New Roman"/>
        </w:rPr>
        <w:t>confié;</w:t>
      </w:r>
      <w:proofErr w:type="gramEnd"/>
      <w:r w:rsidRPr="00DE3649">
        <w:rPr>
          <w:rFonts w:eastAsia="Times New Roman"/>
        </w:rPr>
        <w:t xml:space="preserve">  </w:t>
      </w:r>
    </w:p>
    <w:p w:rsidR="00F07184" w:rsidRPr="00DE3649" w:rsidRDefault="00F07184" w:rsidP="00616088">
      <w:pPr>
        <w:ind w:left="708"/>
        <w:rPr>
          <w:rFonts w:eastAsia="Times New Roman"/>
        </w:rPr>
      </w:pPr>
      <w:r w:rsidRPr="00DE3649">
        <w:rPr>
          <w:rFonts w:eastAsia="Times New Roman"/>
        </w:rPr>
        <w:t>5° avoir pour père, mère, tuteur légal, conjoint ou cohabitant légal une personne de nationalité d’un État membre de l’Union européenne ou qui remplit une des conditions visées aux 1° à 4° ci-</w:t>
      </w:r>
      <w:proofErr w:type="gramStart"/>
      <w:r w:rsidRPr="00DE3649">
        <w:rPr>
          <w:rFonts w:eastAsia="Times New Roman"/>
        </w:rPr>
        <w:t>dessus;</w:t>
      </w:r>
      <w:proofErr w:type="gramEnd"/>
      <w:r w:rsidRPr="00DE3649">
        <w:rPr>
          <w:rFonts w:eastAsia="Times New Roman"/>
        </w:rPr>
        <w:t xml:space="preserve"> 6° remplir les conditions visées à l’article 105, §2, du décret du 7 novembre 2013 précité.  </w:t>
      </w:r>
    </w:p>
    <w:p w:rsidR="00F07184" w:rsidRPr="00DE3649" w:rsidRDefault="00F07184" w:rsidP="00616088">
      <w:pPr>
        <w:ind w:left="708"/>
        <w:rPr>
          <w:rFonts w:eastAsia="Times New Roman"/>
        </w:rPr>
      </w:pPr>
      <w:r w:rsidRPr="00DE3649">
        <w:rPr>
          <w:rFonts w:eastAsia="Times New Roman"/>
        </w:rPr>
        <w:t xml:space="preserve">7° être autorisé à séjourner plus de trois mois en Belgique sur base du statut de résident de longue durée acquis dans un autre état membre de l’Union européenne et en vertu des dispositions de la loi du 15 décembre 1980 sur l’accès au territoire, le séjour, l’établissement et l’éloignement des étrangers ;   </w:t>
      </w:r>
    </w:p>
    <w:p w:rsidR="00F07184" w:rsidRPr="00DE3649" w:rsidRDefault="00F07184" w:rsidP="00616088">
      <w:pPr>
        <w:rPr>
          <w:rFonts w:eastAsia="Times New Roman"/>
        </w:rPr>
      </w:pPr>
      <w:r w:rsidRPr="00DE3649">
        <w:rPr>
          <w:rFonts w:eastAsia="Times New Roman"/>
        </w:rPr>
        <w:t xml:space="preserve">Est considérée comme activité professionnelle réelle et effective celle dont la rémunération correspond et a correspondu, sur 6 des 12 mois précédant l’inscription, à la moitié de la rémunération mensuelle moyenne minimum garantie fixée par le Conseil national du Travail.  </w:t>
      </w:r>
    </w:p>
    <w:p w:rsidR="00470141" w:rsidRPr="00DE3649" w:rsidRDefault="004D4073" w:rsidP="00616088">
      <w:pPr>
        <w:rPr>
          <w:rFonts w:eastAsia="Times New Roman"/>
        </w:rPr>
      </w:pPr>
      <w:r w:rsidRPr="00DE3649">
        <w:rPr>
          <w:rFonts w:eastAsia="Times New Roman"/>
          <w:b/>
        </w:rPr>
        <w:t xml:space="preserve">3. Non finançable en raison du </w:t>
      </w:r>
      <w:proofErr w:type="gramStart"/>
      <w:r w:rsidRPr="00DE3649">
        <w:rPr>
          <w:rFonts w:eastAsia="Times New Roman"/>
          <w:b/>
        </w:rPr>
        <w:t>parcours:</w:t>
      </w:r>
      <w:proofErr w:type="gramEnd"/>
      <w:r w:rsidRPr="00DE3649">
        <w:rPr>
          <w:rFonts w:eastAsia="Times New Roman"/>
        </w:rPr>
        <w:t xml:space="preserve"> participant au tirage au sort ne prouvant pas qu'il remplit une des conditions de financement définies à l'article </w:t>
      </w:r>
      <w:r w:rsidRPr="00DE3649">
        <w:rPr>
          <w:rFonts w:eastAsia="Times New Roman"/>
          <w:szCs w:val="18"/>
        </w:rPr>
        <w:t>5 du décret du 11 avril 2014 adaptant le financement des établissements d’enseignement supérieur à la nouvelle organisation des études, soit:</w:t>
      </w:r>
      <w:r w:rsidR="00470141" w:rsidRPr="00DE3649">
        <w:rPr>
          <w:rFonts w:eastAsia="Times New Roman"/>
        </w:rPr>
        <w:t xml:space="preserve">  </w:t>
      </w:r>
    </w:p>
    <w:p w:rsidR="00470141" w:rsidRPr="00DE3649" w:rsidRDefault="00470141" w:rsidP="00616088">
      <w:pPr>
        <w:ind w:left="708"/>
        <w:rPr>
          <w:rFonts w:eastAsia="Times New Roman"/>
        </w:rPr>
      </w:pPr>
      <w:r w:rsidRPr="00DE3649">
        <w:rPr>
          <w:rFonts w:eastAsia="Times New Roman"/>
        </w:rPr>
        <w:t xml:space="preserve">1° Il s’inscrit à un cycle d’études, sans avoir été déjà inscrit deux fois à des études de même cycle au cours des cinq années académiques </w:t>
      </w:r>
      <w:proofErr w:type="gramStart"/>
      <w:r w:rsidRPr="00DE3649">
        <w:rPr>
          <w:rFonts w:eastAsia="Times New Roman"/>
        </w:rPr>
        <w:t>précédentes;</w:t>
      </w:r>
      <w:proofErr w:type="gramEnd"/>
      <w:r w:rsidRPr="00DE3649">
        <w:rPr>
          <w:rFonts w:eastAsia="Times New Roman"/>
        </w:rPr>
        <w:t xml:space="preserve"> </w:t>
      </w:r>
    </w:p>
    <w:p w:rsidR="00470141" w:rsidRPr="00DE3649" w:rsidRDefault="00470141" w:rsidP="00616088">
      <w:pPr>
        <w:ind w:left="708"/>
        <w:rPr>
          <w:rFonts w:eastAsia="Times New Roman"/>
        </w:rPr>
      </w:pPr>
      <w:r w:rsidRPr="00DE3649">
        <w:rPr>
          <w:rFonts w:eastAsia="Times New Roman"/>
        </w:rPr>
        <w:t xml:space="preserve">2° Il s’inscrit à un premier cycle d’études, sans avoir été déjà inscrit deux fois aux études menant au même grade académique ni avoir été déjà inscrit trois fois à un premier cycle d’études au cours des cinq années académiques </w:t>
      </w:r>
      <w:proofErr w:type="gramStart"/>
      <w:r w:rsidRPr="00DE3649">
        <w:rPr>
          <w:rFonts w:eastAsia="Times New Roman"/>
        </w:rPr>
        <w:t>précédentes;</w:t>
      </w:r>
      <w:proofErr w:type="gramEnd"/>
      <w:r w:rsidRPr="00DE3649">
        <w:rPr>
          <w:rFonts w:eastAsia="Times New Roman"/>
        </w:rPr>
        <w:t xml:space="preserve">  </w:t>
      </w:r>
    </w:p>
    <w:p w:rsidR="00470141" w:rsidRPr="00DE3649" w:rsidRDefault="00470141" w:rsidP="00616088">
      <w:pPr>
        <w:ind w:left="708"/>
        <w:rPr>
          <w:rFonts w:eastAsia="Times New Roman"/>
        </w:rPr>
      </w:pPr>
      <w:r w:rsidRPr="00DE3649">
        <w:rPr>
          <w:rFonts w:eastAsia="Times New Roman"/>
        </w:rPr>
        <w:t xml:space="preserve">3° </w:t>
      </w:r>
      <w:r w:rsidRPr="00DE3649">
        <w:rPr>
          <w:rFonts w:eastAsia="Times New Roman"/>
        </w:rPr>
        <w:tab/>
        <w:t xml:space="preserve">Il se réinscrit à un cycle d’études après y avoir acquis  </w:t>
      </w:r>
    </w:p>
    <w:p w:rsidR="00470141" w:rsidRPr="00DE3649" w:rsidRDefault="00470141" w:rsidP="00616088">
      <w:pPr>
        <w:ind w:left="1416"/>
        <w:rPr>
          <w:rFonts w:eastAsia="Times New Roman"/>
        </w:rPr>
      </w:pPr>
      <w:r w:rsidRPr="00DE3649">
        <w:rPr>
          <w:rFonts w:eastAsia="Times New Roman"/>
        </w:rPr>
        <w:t>a)</w:t>
      </w:r>
      <w:r w:rsidRPr="00DE3649">
        <w:rPr>
          <w:rFonts w:eastAsia="Times New Roman"/>
        </w:rPr>
        <w:tab/>
        <w:t xml:space="preserve">75 % des crédits de son programme annuel lors de l’inscription </w:t>
      </w:r>
      <w:proofErr w:type="gramStart"/>
      <w:r w:rsidRPr="00DE3649">
        <w:rPr>
          <w:rFonts w:eastAsia="Times New Roman"/>
        </w:rPr>
        <w:t>précédente;</w:t>
      </w:r>
      <w:proofErr w:type="gramEnd"/>
      <w:r w:rsidRPr="00DE3649">
        <w:rPr>
          <w:rFonts w:eastAsia="Times New Roman"/>
        </w:rPr>
        <w:t xml:space="preserve">  </w:t>
      </w:r>
    </w:p>
    <w:p w:rsidR="00470141" w:rsidRPr="00DE3649" w:rsidRDefault="00470141" w:rsidP="00616088">
      <w:pPr>
        <w:ind w:left="1416"/>
        <w:rPr>
          <w:rFonts w:eastAsia="Times New Roman"/>
        </w:rPr>
      </w:pPr>
      <w:r w:rsidRPr="00DE3649">
        <w:rPr>
          <w:rFonts w:eastAsia="Times New Roman"/>
        </w:rPr>
        <w:lastRenderedPageBreak/>
        <w:t>b)</w:t>
      </w:r>
      <w:r w:rsidRPr="00DE3649">
        <w:rPr>
          <w:rFonts w:eastAsia="Times New Roman"/>
        </w:rPr>
        <w:tab/>
        <w:t xml:space="preserve">ou, globalement au cours des trois années académiques précédentes,  </w:t>
      </w:r>
    </w:p>
    <w:p w:rsidR="00470141" w:rsidRPr="00DE3649" w:rsidRDefault="00470141" w:rsidP="00616088">
      <w:pPr>
        <w:ind w:left="2124"/>
        <w:rPr>
          <w:rFonts w:eastAsia="Times New Roman"/>
        </w:rPr>
      </w:pPr>
      <w:r w:rsidRPr="00DE3649">
        <w:rPr>
          <w:rFonts w:eastAsia="Times New Roman"/>
        </w:rPr>
        <w:t>i.</w:t>
      </w:r>
      <w:r w:rsidRPr="00DE3649">
        <w:rPr>
          <w:rFonts w:eastAsia="Times New Roman"/>
        </w:rPr>
        <w:tab/>
        <w:t xml:space="preserve">au moins la moitié des crédits du total de la charge de ses programmes annuels, compte non tenu de l’année académique de sa première inscription au cycle, si elle lui est </w:t>
      </w:r>
      <w:proofErr w:type="gramStart"/>
      <w:r w:rsidRPr="00DE3649">
        <w:rPr>
          <w:rFonts w:eastAsia="Times New Roman"/>
        </w:rPr>
        <w:t>défavorable;</w:t>
      </w:r>
      <w:proofErr w:type="gramEnd"/>
      <w:r w:rsidRPr="00DE3649">
        <w:rPr>
          <w:rFonts w:eastAsia="Times New Roman"/>
        </w:rPr>
        <w:t xml:space="preserve"> </w:t>
      </w:r>
    </w:p>
    <w:p w:rsidR="00470141" w:rsidRPr="00DE3649" w:rsidRDefault="00470141" w:rsidP="00616088">
      <w:pPr>
        <w:ind w:left="2124"/>
        <w:rPr>
          <w:rFonts w:eastAsia="Times New Roman"/>
        </w:rPr>
      </w:pPr>
      <w:r w:rsidRPr="00DE3649">
        <w:rPr>
          <w:rFonts w:eastAsia="Times New Roman"/>
        </w:rPr>
        <w:t>ii.</w:t>
      </w:r>
      <w:r w:rsidRPr="00DE3649">
        <w:rPr>
          <w:rFonts w:eastAsia="Times New Roman"/>
        </w:rPr>
        <w:tab/>
        <w:t xml:space="preserve">et au moins 45 </w:t>
      </w:r>
      <w:proofErr w:type="gramStart"/>
      <w:r w:rsidRPr="00DE3649">
        <w:rPr>
          <w:rFonts w:eastAsia="Times New Roman"/>
        </w:rPr>
        <w:t>crédits;</w:t>
      </w:r>
      <w:proofErr w:type="gramEnd"/>
      <w:r w:rsidRPr="00DE3649">
        <w:rPr>
          <w:rFonts w:eastAsia="Times New Roman"/>
        </w:rPr>
        <w:t xml:space="preserve"> cette dernière condition ne s’applique pas aux étudiants inscrits en vertu de l’article 151 du décret du 7 novembre 2013. </w:t>
      </w:r>
    </w:p>
    <w:p w:rsidR="00470141" w:rsidRPr="00DE3649" w:rsidRDefault="00470141" w:rsidP="00616088">
      <w:pPr>
        <w:ind w:left="708"/>
        <w:rPr>
          <w:rFonts w:eastAsia="Times New Roman"/>
        </w:rPr>
      </w:pPr>
      <w:r w:rsidRPr="00DE3649">
        <w:rPr>
          <w:rFonts w:eastAsia="Times New Roman"/>
        </w:rPr>
        <w:t xml:space="preserve">4° Il se réoriente, pour autant qu'il n'ait pas utilisé cette faculté au cours des cinq dernières années académiques précédentes. Un étudiant se réoriente lorsqu'il s'inscrit à des études menant à un grade académique sans y avoir été déjà inscrit. </w:t>
      </w:r>
    </w:p>
    <w:p w:rsidR="00470141" w:rsidRPr="00DE3649" w:rsidRDefault="00470141" w:rsidP="00616088">
      <w:pPr>
        <w:rPr>
          <w:rFonts w:eastAsia="Times New Roman"/>
        </w:rPr>
      </w:pPr>
      <w:r w:rsidRPr="00DE3649">
        <w:rPr>
          <w:rFonts w:eastAsia="Times New Roman"/>
        </w:rPr>
        <w:t xml:space="preserve">Ne sont pas prises en compte les inscriptions au cours des années académiques précédentes qui ont conduit à l’obtention d’un grade académique. L’étudiant qui s’inscrit en premier cycle d’études sur base des conditions visées à l’article 107 du décret du 7 novembre 2013 précité est réputé avoir été régulièrement inscrit pour chaque année académique qui suit l’obtention du diplôme, titre ou certificat visé dans ces conditions d’accès, à un programme annuel de 60 crédits des études visées, sauf pour les années pour lesquelles il apporte la preuve qu’il n’a été inscrit à aucune activité d’enseignement supérieur ou concours ou épreuve d’accès à celui-ci au cours de l’année visée. Il s’agit d’activités ou de concours ou d’épreuves d’accès tant en Communauté française qu’en dehors de celle-ci. Cette preuve peut être apportée par tout document officiel probant ou, en l’absence de document dûment justifiée pour des raisons de force majeure, par une déclaration sur l’honneur de l’étudiant témoignant de l’impossibilité matérielle de fournir un tel document. </w:t>
      </w:r>
    </w:p>
    <w:p w:rsidR="00470141" w:rsidRDefault="00470141" w:rsidP="00616088">
      <w:pPr>
        <w:rPr>
          <w:rFonts w:eastAsia="Times New Roman"/>
        </w:rPr>
      </w:pPr>
      <w:r w:rsidRPr="00DE3649">
        <w:rPr>
          <w:rFonts w:eastAsia="Times New Roman"/>
        </w:rPr>
        <w:t>Aucun crédit n’est acquis par l’étudiant qui a échoué à un concours, ou à toute épreuve permettant d’entreprendre ou de poursuivre des études supérieures en dehors de la Communauté française à l’issue d’une année d’études supérieures préparatoire ou générale menant à ce concours ou à cette épreuve. L’abandon ou la non présentation à ce concours ou à cette épreuve est considérée comme un échec. Dans tous les cas, l’étudiant est considéré comme ayant acquis 0 crédit.</w:t>
      </w:r>
    </w:p>
    <w:p w:rsidR="00C55E7A" w:rsidRDefault="00C55E7A">
      <w:pPr>
        <w:rPr>
          <w:rFonts w:ascii="Helvetica" w:eastAsia="Times New Roman" w:hAnsi="Helvetica" w:cs="Helvetica"/>
          <w:b/>
          <w:bCs/>
          <w:color w:val="71797D"/>
          <w:sz w:val="18"/>
        </w:rPr>
      </w:pPr>
      <w:r>
        <w:rPr>
          <w:rFonts w:ascii="Helvetica" w:eastAsia="Times New Roman" w:hAnsi="Helvetica" w:cs="Helvetica"/>
          <w:b/>
          <w:bCs/>
          <w:color w:val="71797D"/>
          <w:sz w:val="18"/>
        </w:rPr>
        <w:br w:type="page"/>
      </w:r>
    </w:p>
    <w:p w:rsidR="00FB08ED" w:rsidRPr="00C55E7A" w:rsidRDefault="00F51DDF" w:rsidP="00C55E7A">
      <w:pPr>
        <w:pStyle w:val="Titre3"/>
      </w:pPr>
      <w:r w:rsidRPr="00956595">
        <w:lastRenderedPageBreak/>
        <w:t>Les autres dossiers ne sont pas classés en ordre utile et</w:t>
      </w:r>
      <w:r w:rsidR="00FB08ED">
        <w:t xml:space="preserve"> ne sont pas examinés à ce jour, leurs numéros sont les </w:t>
      </w:r>
      <w:proofErr w:type="gramStart"/>
      <w:r w:rsidR="00FB08ED">
        <w:t>suivants:</w:t>
      </w:r>
      <w:proofErr w:type="gramEnd"/>
      <w:r w:rsidR="00A15D43" w:rsidRPr="00A15D43">
        <w:rPr>
          <w:rFonts w:ascii="Arial" w:hAnsi="Arial" w:cs="Arial"/>
          <w:noProof/>
          <w:color w:val="C00000"/>
          <w:sz w:val="20"/>
          <w:szCs w:val="20"/>
        </w:rPr>
        <w:t xml:space="preserve"> </w:t>
      </w:r>
    </w:p>
    <w:tbl>
      <w:tblPr>
        <w:tblW w:w="6980" w:type="dxa"/>
        <w:tblCellMar>
          <w:left w:w="70" w:type="dxa"/>
          <w:right w:w="70" w:type="dxa"/>
        </w:tblCellMar>
        <w:tblLook w:val="04A0" w:firstRow="1" w:lastRow="0" w:firstColumn="1" w:lastColumn="0" w:noHBand="0" w:noVBand="1"/>
      </w:tblPr>
      <w:tblGrid>
        <w:gridCol w:w="980"/>
        <w:gridCol w:w="220"/>
        <w:gridCol w:w="980"/>
        <w:gridCol w:w="220"/>
        <w:gridCol w:w="980"/>
        <w:gridCol w:w="220"/>
        <w:gridCol w:w="980"/>
        <w:gridCol w:w="220"/>
        <w:gridCol w:w="980"/>
        <w:gridCol w:w="220"/>
        <w:gridCol w:w="980"/>
      </w:tblGrid>
      <w:tr w:rsidR="007128A8" w:rsidRPr="007128A8" w:rsidTr="007128A8">
        <w:trPr>
          <w:trHeight w:val="315"/>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99</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7</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56</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205</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192</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201</w:t>
            </w:r>
          </w:p>
        </w:tc>
      </w:tr>
      <w:tr w:rsidR="007128A8" w:rsidRPr="007128A8" w:rsidTr="007128A8">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123</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234</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49</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206</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75</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18</w:t>
            </w:r>
          </w:p>
        </w:tc>
      </w:tr>
      <w:tr w:rsidR="007128A8" w:rsidRPr="007128A8" w:rsidTr="007128A8">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231</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189</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104</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214</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239</w:t>
            </w:r>
          </w:p>
        </w:tc>
      </w:tr>
      <w:tr w:rsidR="007128A8" w:rsidRPr="007128A8" w:rsidTr="007128A8">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182</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103</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237</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79</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8</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129</w:t>
            </w:r>
          </w:p>
        </w:tc>
      </w:tr>
      <w:tr w:rsidR="007128A8" w:rsidRPr="007128A8" w:rsidTr="007128A8">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52</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35</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175</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65</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160</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208</w:t>
            </w:r>
          </w:p>
        </w:tc>
      </w:tr>
      <w:tr w:rsidR="007128A8" w:rsidRPr="007128A8" w:rsidTr="007128A8">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41</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20</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29</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210</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137</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230</w:t>
            </w:r>
          </w:p>
        </w:tc>
      </w:tr>
      <w:tr w:rsidR="007128A8" w:rsidRPr="007128A8" w:rsidTr="007128A8">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24</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94</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61</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27</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108</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71</w:t>
            </w:r>
          </w:p>
        </w:tc>
      </w:tr>
      <w:tr w:rsidR="007128A8" w:rsidRPr="007128A8" w:rsidTr="007128A8">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164</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133</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53</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209</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180</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142</w:t>
            </w:r>
          </w:p>
        </w:tc>
      </w:tr>
      <w:tr w:rsidR="007128A8" w:rsidRPr="007128A8" w:rsidTr="007128A8">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153</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5</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111</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93</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146</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47</w:t>
            </w:r>
          </w:p>
        </w:tc>
      </w:tr>
      <w:tr w:rsidR="007128A8" w:rsidRPr="007128A8" w:rsidTr="007128A8">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13</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128</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152</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171</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73</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226</w:t>
            </w:r>
          </w:p>
        </w:tc>
      </w:tr>
      <w:tr w:rsidR="007128A8" w:rsidRPr="007128A8" w:rsidTr="007128A8">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118</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91</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141</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70</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132</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223</w:t>
            </w:r>
          </w:p>
        </w:tc>
      </w:tr>
      <w:tr w:rsidR="007128A8" w:rsidRPr="007128A8" w:rsidTr="007128A8">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224</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155</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72</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184</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119</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114</w:t>
            </w:r>
          </w:p>
        </w:tc>
      </w:tr>
      <w:tr w:rsidR="007128A8" w:rsidRPr="007128A8" w:rsidTr="007128A8">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101</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112</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63</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221</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154</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113</w:t>
            </w:r>
          </w:p>
        </w:tc>
      </w:tr>
      <w:tr w:rsidR="007128A8" w:rsidRPr="007128A8" w:rsidTr="007128A8">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170</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125</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100</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219</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204</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48</w:t>
            </w:r>
          </w:p>
        </w:tc>
      </w:tr>
      <w:tr w:rsidR="007128A8" w:rsidRPr="007128A8" w:rsidTr="007128A8">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202</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58</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140</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109</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16</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183</w:t>
            </w:r>
          </w:p>
        </w:tc>
      </w:tr>
      <w:tr w:rsidR="007128A8" w:rsidRPr="007128A8" w:rsidTr="007128A8">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145</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168</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218</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147</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76</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66</w:t>
            </w:r>
          </w:p>
        </w:tc>
      </w:tr>
      <w:tr w:rsidR="007128A8" w:rsidRPr="007128A8" w:rsidTr="007128A8">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19</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227</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87</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177</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179</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69</w:t>
            </w:r>
          </w:p>
        </w:tc>
      </w:tr>
      <w:tr w:rsidR="007128A8" w:rsidRPr="007128A8" w:rsidTr="007128A8">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126</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228</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22</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37</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222</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185</w:t>
            </w:r>
          </w:p>
        </w:tc>
      </w:tr>
      <w:tr w:rsidR="007128A8" w:rsidRPr="007128A8" w:rsidTr="007128A8">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43</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85</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134</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106</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122</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28</w:t>
            </w:r>
          </w:p>
        </w:tc>
      </w:tr>
      <w:tr w:rsidR="007128A8" w:rsidRPr="007128A8" w:rsidTr="007128A8">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213</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25</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21</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77</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187</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102</w:t>
            </w:r>
          </w:p>
        </w:tc>
      </w:tr>
      <w:tr w:rsidR="007128A8" w:rsidRPr="007128A8" w:rsidTr="007128A8">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105</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212</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31</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86</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220</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110</w:t>
            </w:r>
          </w:p>
        </w:tc>
      </w:tr>
      <w:tr w:rsidR="007128A8" w:rsidRPr="007128A8" w:rsidTr="007128A8">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151</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169</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136</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138</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67</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199</w:t>
            </w:r>
          </w:p>
        </w:tc>
      </w:tr>
      <w:tr w:rsidR="007128A8" w:rsidRPr="007128A8" w:rsidTr="007128A8">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81</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215</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144</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178</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26</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33</w:t>
            </w:r>
          </w:p>
        </w:tc>
      </w:tr>
      <w:tr w:rsidR="007128A8" w:rsidRPr="007128A8" w:rsidTr="007128A8">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15</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186</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80</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173</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38</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200</w:t>
            </w:r>
          </w:p>
        </w:tc>
      </w:tr>
      <w:tr w:rsidR="007128A8" w:rsidRPr="007128A8" w:rsidTr="007128A8">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240</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60</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23</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4</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12</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39</w:t>
            </w:r>
          </w:p>
        </w:tc>
      </w:tr>
      <w:tr w:rsidR="007128A8" w:rsidRPr="007128A8" w:rsidTr="007128A8">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163</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3</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162</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166</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244</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121</w:t>
            </w:r>
          </w:p>
        </w:tc>
      </w:tr>
      <w:tr w:rsidR="007128A8" w:rsidRPr="007128A8" w:rsidTr="007128A8">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88</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143</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92</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149</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74</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116</w:t>
            </w:r>
          </w:p>
        </w:tc>
      </w:tr>
      <w:tr w:rsidR="007128A8" w:rsidRPr="007128A8" w:rsidTr="007128A8">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243</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36</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235</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196</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107</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89</w:t>
            </w:r>
          </w:p>
        </w:tc>
      </w:tr>
      <w:tr w:rsidR="007128A8" w:rsidRPr="007128A8" w:rsidTr="007128A8">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98</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181</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83</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95</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211</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84</w:t>
            </w:r>
          </w:p>
        </w:tc>
      </w:tr>
      <w:tr w:rsidR="007128A8" w:rsidRPr="007128A8" w:rsidTr="007128A8">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90</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157</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82</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150</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195</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nil"/>
              <w:bottom w:val="nil"/>
              <w:right w:val="nil"/>
            </w:tcBorders>
            <w:shd w:val="clear" w:color="auto" w:fill="auto"/>
            <w:noWrap/>
            <w:vAlign w:val="bottom"/>
            <w:hideMark/>
          </w:tcPr>
          <w:p w:rsidR="007128A8" w:rsidRPr="007128A8" w:rsidRDefault="007128A8" w:rsidP="007128A8">
            <w:pPr>
              <w:spacing w:after="0"/>
              <w:rPr>
                <w:rFonts w:ascii="Times New Roman" w:eastAsia="Times New Roman" w:hAnsi="Times New Roman" w:cs="Times New Roman"/>
                <w:szCs w:val="20"/>
              </w:rPr>
            </w:pPr>
          </w:p>
        </w:tc>
      </w:tr>
      <w:tr w:rsidR="007128A8" w:rsidRPr="007128A8" w:rsidTr="007128A8">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14</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232</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194</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68</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54</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nil"/>
              <w:bottom w:val="nil"/>
              <w:right w:val="nil"/>
            </w:tcBorders>
            <w:shd w:val="clear" w:color="auto" w:fill="auto"/>
            <w:noWrap/>
            <w:vAlign w:val="bottom"/>
            <w:hideMark/>
          </w:tcPr>
          <w:p w:rsidR="007128A8" w:rsidRPr="007128A8" w:rsidRDefault="007128A8" w:rsidP="007128A8">
            <w:pPr>
              <w:spacing w:after="0"/>
              <w:rPr>
                <w:rFonts w:ascii="Times New Roman" w:eastAsia="Times New Roman" w:hAnsi="Times New Roman" w:cs="Times New Roman"/>
                <w:szCs w:val="20"/>
              </w:rPr>
            </w:pPr>
          </w:p>
        </w:tc>
      </w:tr>
      <w:tr w:rsidR="007128A8" w:rsidRPr="007128A8" w:rsidTr="007128A8">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17</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193</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216</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242</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9</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nil"/>
              <w:bottom w:val="nil"/>
              <w:right w:val="nil"/>
            </w:tcBorders>
            <w:shd w:val="clear" w:color="auto" w:fill="auto"/>
            <w:noWrap/>
            <w:vAlign w:val="bottom"/>
            <w:hideMark/>
          </w:tcPr>
          <w:p w:rsidR="007128A8" w:rsidRPr="007128A8" w:rsidRDefault="007128A8" w:rsidP="007128A8">
            <w:pPr>
              <w:spacing w:after="0"/>
              <w:rPr>
                <w:rFonts w:ascii="Times New Roman" w:eastAsia="Times New Roman" w:hAnsi="Times New Roman" w:cs="Times New Roman"/>
                <w:szCs w:val="20"/>
              </w:rPr>
            </w:pPr>
          </w:p>
        </w:tc>
      </w:tr>
      <w:tr w:rsidR="007128A8" w:rsidRPr="007128A8" w:rsidTr="007128A8">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55</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176</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198</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30</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r w:rsidRPr="007128A8">
              <w:rPr>
                <w:rFonts w:ascii="Arial" w:eastAsia="Times New Roman" w:hAnsi="Arial" w:cs="Arial"/>
                <w:szCs w:val="20"/>
              </w:rPr>
              <w:t>124</w:t>
            </w:r>
          </w:p>
        </w:tc>
        <w:tc>
          <w:tcPr>
            <w:tcW w:w="220" w:type="dxa"/>
            <w:tcBorders>
              <w:top w:val="nil"/>
              <w:left w:val="nil"/>
              <w:bottom w:val="nil"/>
              <w:right w:val="nil"/>
            </w:tcBorders>
            <w:shd w:val="clear" w:color="auto" w:fill="auto"/>
            <w:noWrap/>
            <w:vAlign w:val="bottom"/>
            <w:hideMark/>
          </w:tcPr>
          <w:p w:rsidR="007128A8" w:rsidRPr="007128A8" w:rsidRDefault="007128A8" w:rsidP="007128A8">
            <w:pPr>
              <w:spacing w:after="0"/>
              <w:jc w:val="right"/>
              <w:rPr>
                <w:rFonts w:ascii="Arial" w:eastAsia="Times New Roman" w:hAnsi="Arial" w:cs="Arial"/>
                <w:szCs w:val="20"/>
              </w:rPr>
            </w:pPr>
          </w:p>
        </w:tc>
        <w:tc>
          <w:tcPr>
            <w:tcW w:w="980" w:type="dxa"/>
            <w:tcBorders>
              <w:top w:val="nil"/>
              <w:left w:val="nil"/>
              <w:bottom w:val="nil"/>
              <w:right w:val="nil"/>
            </w:tcBorders>
            <w:shd w:val="clear" w:color="auto" w:fill="auto"/>
            <w:noWrap/>
            <w:vAlign w:val="bottom"/>
            <w:hideMark/>
          </w:tcPr>
          <w:p w:rsidR="007128A8" w:rsidRPr="007128A8" w:rsidRDefault="007128A8" w:rsidP="007128A8">
            <w:pPr>
              <w:spacing w:after="0"/>
              <w:rPr>
                <w:rFonts w:ascii="Times New Roman" w:eastAsia="Times New Roman" w:hAnsi="Times New Roman" w:cs="Times New Roman"/>
                <w:szCs w:val="20"/>
              </w:rPr>
            </w:pPr>
          </w:p>
        </w:tc>
      </w:tr>
    </w:tbl>
    <w:p w:rsidR="00A15D43" w:rsidRDefault="00A15D43" w:rsidP="00F51DDF">
      <w:pPr>
        <w:shd w:val="clear" w:color="auto" w:fill="FFFFFF"/>
        <w:spacing w:after="75"/>
        <w:rPr>
          <w:rFonts w:ascii="Helvetica" w:eastAsia="Times New Roman" w:hAnsi="Helvetica" w:cs="Helvetica"/>
          <w:b/>
          <w:bCs/>
          <w:color w:val="71797D"/>
          <w:sz w:val="18"/>
        </w:rPr>
      </w:pPr>
    </w:p>
    <w:p w:rsidR="00616088" w:rsidRPr="00F51DDF" w:rsidRDefault="00616088" w:rsidP="00616088">
      <w:pPr>
        <w:pStyle w:val="Titre3"/>
        <w:rPr>
          <w:szCs w:val="18"/>
        </w:rPr>
      </w:pPr>
      <w:r w:rsidRPr="00F51DDF">
        <w:t>Les étudiants dont l'inscription est refusée sont susceptibles d'introduire un recours.</w:t>
      </w:r>
    </w:p>
    <w:p w:rsidR="00616088" w:rsidRPr="00813685" w:rsidRDefault="00616088" w:rsidP="00616088">
      <w:pPr>
        <w:rPr>
          <w:rFonts w:eastAsia="Times New Roman"/>
        </w:rPr>
      </w:pPr>
      <w:r>
        <w:rPr>
          <w:rFonts w:eastAsia="Times New Roman"/>
        </w:rPr>
        <w:t>Conformément à l'article 71 du règlement des études, u</w:t>
      </w:r>
      <w:r w:rsidRPr="00F51DDF">
        <w:rPr>
          <w:rFonts w:eastAsia="Times New Roman"/>
        </w:rPr>
        <w:t>n recours peut être introduit</w:t>
      </w:r>
      <w:r>
        <w:rPr>
          <w:rFonts w:eastAsia="Times New Roman"/>
        </w:rPr>
        <w:t xml:space="preserve"> contre le refus d'inscription</w:t>
      </w:r>
      <w:r w:rsidRPr="00F51DDF">
        <w:rPr>
          <w:rFonts w:eastAsia="Times New Roman"/>
        </w:rPr>
        <w:t>.</w:t>
      </w:r>
      <w:r>
        <w:rPr>
          <w:rFonts w:eastAsia="Times New Roman"/>
        </w:rPr>
        <w:t xml:space="preserve"> L</w:t>
      </w:r>
      <w:r w:rsidRPr="00813685">
        <w:rPr>
          <w:rFonts w:eastAsia="Times New Roman"/>
        </w:rPr>
        <w:t xml:space="preserve">e recours est à former auprès du Président de la Commission, au 97, avenue Besme, 1190 Bruxelles, par recommandé dans les 10 jours suivant la réception de la notification ou la mise en ligne de la décision. </w:t>
      </w:r>
    </w:p>
    <w:p w:rsidR="00616088" w:rsidRPr="00813685" w:rsidRDefault="00616088" w:rsidP="00616088">
      <w:pPr>
        <w:rPr>
          <w:rFonts w:eastAsia="Times New Roman"/>
        </w:rPr>
      </w:pPr>
      <w:r w:rsidRPr="00813685">
        <w:rPr>
          <w:rFonts w:eastAsia="Times New Roman"/>
        </w:rPr>
        <w:t>Le recours mentionne expressément si l'étudiant conteste le fait qu'il est non-finançable ou s'il désire obtenir une inscription malgré ce caractère non-finançable en raison de circonstances véritablement exceptionnelles. Il est accompagné de preuves écrites de nature à prouver ces circonstances.</w:t>
      </w:r>
    </w:p>
    <w:p w:rsidR="00616088" w:rsidRPr="00813685" w:rsidRDefault="00616088" w:rsidP="00616088">
      <w:pPr>
        <w:rPr>
          <w:rFonts w:eastAsia="Times New Roman"/>
        </w:rPr>
      </w:pPr>
      <w:r w:rsidRPr="00813685">
        <w:rPr>
          <w:rFonts w:eastAsia="Times New Roman"/>
        </w:rPr>
        <w:lastRenderedPageBreak/>
        <w:t xml:space="preserve">Tout </w:t>
      </w:r>
      <w:proofErr w:type="gramStart"/>
      <w:r w:rsidRPr="00813685">
        <w:rPr>
          <w:rFonts w:eastAsia="Times New Roman"/>
        </w:rPr>
        <w:t>recours</w:t>
      </w:r>
      <w:proofErr w:type="gramEnd"/>
      <w:r w:rsidRPr="00813685">
        <w:rPr>
          <w:rFonts w:eastAsia="Times New Roman"/>
        </w:rPr>
        <w:t xml:space="preserve"> ne respectant pas strictement ces formes ou non signé sera rejeté comme irrégulier. </w:t>
      </w:r>
    </w:p>
    <w:p w:rsidR="00616088" w:rsidRPr="00813685" w:rsidRDefault="00616088" w:rsidP="00616088">
      <w:pPr>
        <w:rPr>
          <w:rFonts w:eastAsia="Times New Roman"/>
        </w:rPr>
      </w:pPr>
      <w:r w:rsidRPr="00813685">
        <w:rPr>
          <w:rFonts w:eastAsia="Times New Roman"/>
        </w:rPr>
        <w:t>L'adresse mentionnée dans le recours sera considérée comme l'adresse à laquelle l'étudiant doit recevoir réponse, même si elle est en contradiction avec celle figurant dans le dossier de l'étudiant. L'étudiant veillera donc bien à indiquer son adresse complète, ainsi que son adresse e-mail s'il n'a pas d'adresse officielle de la Haute Ecole.</w:t>
      </w:r>
      <w:bookmarkStart w:id="0" w:name="_GoBack"/>
      <w:bookmarkEnd w:id="0"/>
    </w:p>
    <w:p w:rsidR="00616088" w:rsidRPr="00813685" w:rsidRDefault="00616088" w:rsidP="00616088">
      <w:pPr>
        <w:rPr>
          <w:rFonts w:eastAsia="Times New Roman"/>
        </w:rPr>
      </w:pPr>
      <w:r w:rsidRPr="00813685">
        <w:rPr>
          <w:rFonts w:eastAsia="Times New Roman"/>
        </w:rPr>
        <w:t xml:space="preserve">En cas de contestation de la </w:t>
      </w:r>
      <w:proofErr w:type="spellStart"/>
      <w:r w:rsidRPr="00813685">
        <w:rPr>
          <w:rFonts w:eastAsia="Times New Roman"/>
        </w:rPr>
        <w:t>finançabilité</w:t>
      </w:r>
      <w:proofErr w:type="spellEnd"/>
      <w:r w:rsidRPr="00813685">
        <w:rPr>
          <w:rFonts w:eastAsia="Times New Roman"/>
        </w:rPr>
        <w:t xml:space="preserve"> de l'étudiant, un avis du Commissaire du Gouvernement auprès de la Haute Ecole est requis.</w:t>
      </w:r>
    </w:p>
    <w:p w:rsidR="00616088" w:rsidRDefault="00616088" w:rsidP="003F46B3">
      <w:pPr>
        <w:rPr>
          <w:rFonts w:ascii="Helvetica" w:eastAsia="Times New Roman" w:hAnsi="Helvetica" w:cs="Helvetica"/>
          <w:b/>
          <w:bCs/>
          <w:color w:val="71797D"/>
          <w:sz w:val="18"/>
        </w:rPr>
      </w:pPr>
      <w:r w:rsidRPr="00813685">
        <w:rPr>
          <w:rFonts w:eastAsia="Times New Roman"/>
        </w:rPr>
        <w:t>La procédure est écrite. Aucune audition n'est accordée et aucune information sur le contenu de la décis</w:t>
      </w:r>
      <w:r>
        <w:rPr>
          <w:rFonts w:eastAsia="Times New Roman"/>
        </w:rPr>
        <w:t>ion n'est donnée par téléphone.</w:t>
      </w:r>
    </w:p>
    <w:sectPr w:rsidR="00616088" w:rsidSect="007128A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7184" w:rsidRDefault="00F07184" w:rsidP="00F07184">
      <w:pPr>
        <w:spacing w:after="0"/>
      </w:pPr>
      <w:r>
        <w:separator/>
      </w:r>
    </w:p>
  </w:endnote>
  <w:endnote w:type="continuationSeparator" w:id="0">
    <w:p w:rsidR="00F07184" w:rsidRDefault="00F07184" w:rsidP="00F071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E7A" w:rsidRDefault="00C55E7A">
    <w:pPr>
      <w:pStyle w:val="Pieddepage"/>
    </w:pPr>
    <w:r>
      <w:rPr>
        <w:noProof/>
      </w:rPr>
      <w:drawing>
        <wp:anchor distT="0" distB="0" distL="114300" distR="114300" simplePos="0" relativeHeight="251659264" behindDoc="0" locked="0" layoutInCell="1" allowOverlap="1" wp14:anchorId="71D21288" wp14:editId="231DE8FD">
          <wp:simplePos x="0" y="0"/>
          <wp:positionH relativeFrom="column">
            <wp:posOffset>-822677</wp:posOffset>
          </wp:positionH>
          <wp:positionV relativeFrom="paragraph">
            <wp:posOffset>-292980</wp:posOffset>
          </wp:positionV>
          <wp:extent cx="793215" cy="793215"/>
          <wp:effectExtent l="0" t="0" r="6985" b="698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ELB-I.Prigogine.jpg"/>
                  <pic:cNvPicPr/>
                </pic:nvPicPr>
                <pic:blipFill>
                  <a:blip r:embed="rId1">
                    <a:extLst>
                      <a:ext uri="{28A0092B-C50C-407E-A947-70E740481C1C}">
                        <a14:useLocalDpi xmlns:a14="http://schemas.microsoft.com/office/drawing/2010/main" val="0"/>
                      </a:ext>
                    </a:extLst>
                  </a:blip>
                  <a:stretch>
                    <a:fillRect/>
                  </a:stretch>
                </pic:blipFill>
                <pic:spPr>
                  <a:xfrm>
                    <a:off x="0" y="0"/>
                    <a:ext cx="796836" cy="796836"/>
                  </a:xfrm>
                  <a:prstGeom prst="rect">
                    <a:avLst/>
                  </a:prstGeom>
                </pic:spPr>
              </pic:pic>
            </a:graphicData>
          </a:graphic>
          <wp14:sizeRelH relativeFrom="margin">
            <wp14:pctWidth>0</wp14:pctWidth>
          </wp14:sizeRelH>
          <wp14:sizeRelV relativeFrom="margin">
            <wp14:pctHeight>0</wp14:pctHeight>
          </wp14:sizeRelV>
        </wp:anchor>
      </w:drawing>
    </w:r>
    <w:proofErr w:type="spellStart"/>
    <w:r>
      <w:t>Helb</w:t>
    </w:r>
    <w:proofErr w:type="spellEnd"/>
    <w:r>
      <w:t xml:space="preserve"> - Ilya Prigogine </w:t>
    </w:r>
    <w:proofErr w:type="gramStart"/>
    <w:r>
      <w:t>-  Résultats</w:t>
    </w:r>
    <w:proofErr w:type="gramEnd"/>
    <w:r>
      <w:t xml:space="preserve"> du tirage au sort 2018-2019</w:t>
    </w:r>
    <w:r>
      <w:tab/>
      <w:t xml:space="preserve">Page </w:t>
    </w:r>
    <w:r>
      <w:fldChar w:fldCharType="begin"/>
    </w:r>
    <w:r>
      <w:instrText>PAGE   \* MERGEFORMAT</w:instrText>
    </w:r>
    <w:r>
      <w:fldChar w:fldCharType="separate"/>
    </w:r>
    <w:r>
      <w:rPr>
        <w:lang w:val="fr-FR"/>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7184" w:rsidRDefault="00F07184" w:rsidP="00F07184">
      <w:pPr>
        <w:spacing w:after="0"/>
      </w:pPr>
      <w:r>
        <w:separator/>
      </w:r>
    </w:p>
  </w:footnote>
  <w:footnote w:type="continuationSeparator" w:id="0">
    <w:p w:rsidR="00F07184" w:rsidRDefault="00F07184" w:rsidP="00F071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C0A77"/>
    <w:multiLevelType w:val="multilevel"/>
    <w:tmpl w:val="A6E4F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977667"/>
    <w:multiLevelType w:val="multilevel"/>
    <w:tmpl w:val="3B0E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DDF"/>
    <w:rsid w:val="00022FCD"/>
    <w:rsid w:val="00026D0B"/>
    <w:rsid w:val="00097547"/>
    <w:rsid w:val="000D3EAB"/>
    <w:rsid w:val="000E69BA"/>
    <w:rsid w:val="000F44BD"/>
    <w:rsid w:val="00222A95"/>
    <w:rsid w:val="002612A4"/>
    <w:rsid w:val="003B6FA7"/>
    <w:rsid w:val="003F46B3"/>
    <w:rsid w:val="00470141"/>
    <w:rsid w:val="004D4073"/>
    <w:rsid w:val="0052299F"/>
    <w:rsid w:val="00616088"/>
    <w:rsid w:val="00685BF8"/>
    <w:rsid w:val="007128A8"/>
    <w:rsid w:val="00737794"/>
    <w:rsid w:val="00754630"/>
    <w:rsid w:val="007A38AB"/>
    <w:rsid w:val="00813685"/>
    <w:rsid w:val="008304F6"/>
    <w:rsid w:val="0094435E"/>
    <w:rsid w:val="00956595"/>
    <w:rsid w:val="00974AE8"/>
    <w:rsid w:val="009B2694"/>
    <w:rsid w:val="00A15D43"/>
    <w:rsid w:val="00A453C4"/>
    <w:rsid w:val="00A66722"/>
    <w:rsid w:val="00A818D0"/>
    <w:rsid w:val="00B02AAF"/>
    <w:rsid w:val="00B207CA"/>
    <w:rsid w:val="00C55E7A"/>
    <w:rsid w:val="00C93B81"/>
    <w:rsid w:val="00D6213B"/>
    <w:rsid w:val="00DB705A"/>
    <w:rsid w:val="00DC183B"/>
    <w:rsid w:val="00DE3649"/>
    <w:rsid w:val="00E03EDB"/>
    <w:rsid w:val="00E70F76"/>
    <w:rsid w:val="00F07184"/>
    <w:rsid w:val="00F51DDF"/>
    <w:rsid w:val="00F560CB"/>
    <w:rsid w:val="00FA4CD1"/>
    <w:rsid w:val="00FB08E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6FDA1"/>
  <w15:docId w15:val="{42D4B209-8D25-41B2-B10A-1E4E8C5F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46B3"/>
    <w:pPr>
      <w:spacing w:after="180" w:line="240" w:lineRule="auto"/>
      <w:jc w:val="both"/>
    </w:pPr>
    <w:rPr>
      <w:color w:val="7F7F7F" w:themeColor="text1" w:themeTint="80"/>
      <w:sz w:val="20"/>
    </w:rPr>
  </w:style>
  <w:style w:type="paragraph" w:styleId="Titre3">
    <w:name w:val="heading 3"/>
    <w:basedOn w:val="Normal"/>
    <w:link w:val="Titre3Car"/>
    <w:uiPriority w:val="9"/>
    <w:qFormat/>
    <w:rsid w:val="00C55E7A"/>
    <w:pPr>
      <w:shd w:val="clear" w:color="auto" w:fill="FFFFFF"/>
      <w:spacing w:after="150"/>
      <w:outlineLvl w:val="2"/>
    </w:pPr>
    <w:rPr>
      <w:rFonts w:ascii="Helvetica" w:eastAsia="Times New Roman" w:hAnsi="Helvetica" w:cs="Helvetica"/>
      <w:b/>
      <w:bCs/>
      <w:color w:val="347399"/>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C55E7A"/>
    <w:rPr>
      <w:rFonts w:ascii="Helvetica" w:eastAsia="Times New Roman" w:hAnsi="Helvetica" w:cs="Helvetica"/>
      <w:b/>
      <w:bCs/>
      <w:color w:val="347399"/>
      <w:sz w:val="21"/>
      <w:szCs w:val="21"/>
      <w:shd w:val="clear" w:color="auto" w:fill="FFFFFF"/>
    </w:rPr>
  </w:style>
  <w:style w:type="paragraph" w:styleId="NormalWeb">
    <w:name w:val="Normal (Web)"/>
    <w:basedOn w:val="Normal"/>
    <w:uiPriority w:val="99"/>
    <w:semiHidden/>
    <w:unhideWhenUsed/>
    <w:rsid w:val="00F51DDF"/>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Policepardfaut"/>
    <w:rsid w:val="00F51DDF"/>
  </w:style>
  <w:style w:type="character" w:styleId="lev">
    <w:name w:val="Strong"/>
    <w:basedOn w:val="Policepardfaut"/>
    <w:uiPriority w:val="22"/>
    <w:qFormat/>
    <w:rsid w:val="00F51DDF"/>
    <w:rPr>
      <w:b/>
      <w:bCs/>
    </w:rPr>
  </w:style>
  <w:style w:type="character" w:styleId="Lienhypertexte">
    <w:name w:val="Hyperlink"/>
    <w:basedOn w:val="Policepardfaut"/>
    <w:uiPriority w:val="99"/>
    <w:unhideWhenUsed/>
    <w:rsid w:val="00F51DDF"/>
    <w:rPr>
      <w:color w:val="0000FF"/>
      <w:u w:val="single"/>
    </w:rPr>
  </w:style>
  <w:style w:type="paragraph" w:styleId="Textedebulles">
    <w:name w:val="Balloon Text"/>
    <w:basedOn w:val="Normal"/>
    <w:link w:val="TextedebullesCar"/>
    <w:uiPriority w:val="99"/>
    <w:semiHidden/>
    <w:unhideWhenUsed/>
    <w:rsid w:val="00A15D43"/>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15D43"/>
    <w:rPr>
      <w:rFonts w:ascii="Tahoma" w:hAnsi="Tahoma" w:cs="Tahoma"/>
      <w:sz w:val="16"/>
      <w:szCs w:val="16"/>
    </w:rPr>
  </w:style>
  <w:style w:type="paragraph" w:styleId="En-tte">
    <w:name w:val="header"/>
    <w:basedOn w:val="Normal"/>
    <w:link w:val="En-tteCar"/>
    <w:uiPriority w:val="99"/>
    <w:unhideWhenUsed/>
    <w:rsid w:val="00C55E7A"/>
    <w:pPr>
      <w:tabs>
        <w:tab w:val="center" w:pos="4536"/>
        <w:tab w:val="right" w:pos="9072"/>
      </w:tabs>
      <w:spacing w:after="0"/>
    </w:pPr>
  </w:style>
  <w:style w:type="character" w:customStyle="1" w:styleId="En-tteCar">
    <w:name w:val="En-tête Car"/>
    <w:basedOn w:val="Policepardfaut"/>
    <w:link w:val="En-tte"/>
    <w:uiPriority w:val="99"/>
    <w:rsid w:val="00C55E7A"/>
  </w:style>
  <w:style w:type="paragraph" w:styleId="Pieddepage">
    <w:name w:val="footer"/>
    <w:basedOn w:val="Normal"/>
    <w:link w:val="PieddepageCar"/>
    <w:uiPriority w:val="99"/>
    <w:unhideWhenUsed/>
    <w:rsid w:val="00C55E7A"/>
    <w:pPr>
      <w:tabs>
        <w:tab w:val="center" w:pos="4536"/>
        <w:tab w:val="right" w:pos="9072"/>
      </w:tabs>
      <w:spacing w:after="0"/>
    </w:pPr>
  </w:style>
  <w:style w:type="character" w:customStyle="1" w:styleId="PieddepageCar">
    <w:name w:val="Pied de page Car"/>
    <w:basedOn w:val="Policepardfaut"/>
    <w:link w:val="Pieddepage"/>
    <w:uiPriority w:val="99"/>
    <w:rsid w:val="00C55E7A"/>
  </w:style>
  <w:style w:type="character" w:styleId="Mentionnonrsolue">
    <w:name w:val="Unresolved Mention"/>
    <w:basedOn w:val="Policepardfaut"/>
    <w:uiPriority w:val="99"/>
    <w:semiHidden/>
    <w:unhideWhenUsed/>
    <w:rsid w:val="00616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73165">
      <w:bodyDiv w:val="1"/>
      <w:marLeft w:val="0"/>
      <w:marRight w:val="0"/>
      <w:marTop w:val="0"/>
      <w:marBottom w:val="0"/>
      <w:divBdr>
        <w:top w:val="none" w:sz="0" w:space="0" w:color="auto"/>
        <w:left w:val="none" w:sz="0" w:space="0" w:color="auto"/>
        <w:bottom w:val="none" w:sz="0" w:space="0" w:color="auto"/>
        <w:right w:val="none" w:sz="0" w:space="0" w:color="auto"/>
      </w:divBdr>
    </w:div>
    <w:div w:id="132455083">
      <w:bodyDiv w:val="1"/>
      <w:marLeft w:val="0"/>
      <w:marRight w:val="0"/>
      <w:marTop w:val="0"/>
      <w:marBottom w:val="0"/>
      <w:divBdr>
        <w:top w:val="none" w:sz="0" w:space="0" w:color="auto"/>
        <w:left w:val="none" w:sz="0" w:space="0" w:color="auto"/>
        <w:bottom w:val="none" w:sz="0" w:space="0" w:color="auto"/>
        <w:right w:val="none" w:sz="0" w:space="0" w:color="auto"/>
      </w:divBdr>
    </w:div>
    <w:div w:id="407070274">
      <w:bodyDiv w:val="1"/>
      <w:marLeft w:val="0"/>
      <w:marRight w:val="0"/>
      <w:marTop w:val="0"/>
      <w:marBottom w:val="0"/>
      <w:divBdr>
        <w:top w:val="none" w:sz="0" w:space="0" w:color="auto"/>
        <w:left w:val="none" w:sz="0" w:space="0" w:color="auto"/>
        <w:bottom w:val="none" w:sz="0" w:space="0" w:color="auto"/>
        <w:right w:val="none" w:sz="0" w:space="0" w:color="auto"/>
      </w:divBdr>
    </w:div>
    <w:div w:id="680666606">
      <w:bodyDiv w:val="1"/>
      <w:marLeft w:val="0"/>
      <w:marRight w:val="0"/>
      <w:marTop w:val="0"/>
      <w:marBottom w:val="0"/>
      <w:divBdr>
        <w:top w:val="none" w:sz="0" w:space="0" w:color="auto"/>
        <w:left w:val="none" w:sz="0" w:space="0" w:color="auto"/>
        <w:bottom w:val="none" w:sz="0" w:space="0" w:color="auto"/>
        <w:right w:val="none" w:sz="0" w:space="0" w:color="auto"/>
      </w:divBdr>
    </w:div>
    <w:div w:id="977882785">
      <w:bodyDiv w:val="1"/>
      <w:marLeft w:val="0"/>
      <w:marRight w:val="0"/>
      <w:marTop w:val="0"/>
      <w:marBottom w:val="0"/>
      <w:divBdr>
        <w:top w:val="none" w:sz="0" w:space="0" w:color="auto"/>
        <w:left w:val="none" w:sz="0" w:space="0" w:color="auto"/>
        <w:bottom w:val="none" w:sz="0" w:space="0" w:color="auto"/>
        <w:right w:val="none" w:sz="0" w:space="0" w:color="auto"/>
      </w:divBdr>
    </w:div>
    <w:div w:id="982154652">
      <w:bodyDiv w:val="1"/>
      <w:marLeft w:val="0"/>
      <w:marRight w:val="0"/>
      <w:marTop w:val="0"/>
      <w:marBottom w:val="0"/>
      <w:divBdr>
        <w:top w:val="none" w:sz="0" w:space="0" w:color="auto"/>
        <w:left w:val="none" w:sz="0" w:space="0" w:color="auto"/>
        <w:bottom w:val="none" w:sz="0" w:space="0" w:color="auto"/>
        <w:right w:val="none" w:sz="0" w:space="0" w:color="auto"/>
      </w:divBdr>
    </w:div>
    <w:div w:id="1070812963">
      <w:bodyDiv w:val="1"/>
      <w:marLeft w:val="0"/>
      <w:marRight w:val="0"/>
      <w:marTop w:val="0"/>
      <w:marBottom w:val="0"/>
      <w:divBdr>
        <w:top w:val="none" w:sz="0" w:space="0" w:color="auto"/>
        <w:left w:val="none" w:sz="0" w:space="0" w:color="auto"/>
        <w:bottom w:val="none" w:sz="0" w:space="0" w:color="auto"/>
        <w:right w:val="none" w:sz="0" w:space="0" w:color="auto"/>
      </w:divBdr>
    </w:div>
    <w:div w:id="1139617648">
      <w:bodyDiv w:val="1"/>
      <w:marLeft w:val="0"/>
      <w:marRight w:val="0"/>
      <w:marTop w:val="0"/>
      <w:marBottom w:val="0"/>
      <w:divBdr>
        <w:top w:val="none" w:sz="0" w:space="0" w:color="auto"/>
        <w:left w:val="none" w:sz="0" w:space="0" w:color="auto"/>
        <w:bottom w:val="none" w:sz="0" w:space="0" w:color="auto"/>
        <w:right w:val="none" w:sz="0" w:space="0" w:color="auto"/>
      </w:divBdr>
    </w:div>
    <w:div w:id="1306735597">
      <w:bodyDiv w:val="1"/>
      <w:marLeft w:val="0"/>
      <w:marRight w:val="0"/>
      <w:marTop w:val="0"/>
      <w:marBottom w:val="0"/>
      <w:divBdr>
        <w:top w:val="none" w:sz="0" w:space="0" w:color="auto"/>
        <w:left w:val="none" w:sz="0" w:space="0" w:color="auto"/>
        <w:bottom w:val="none" w:sz="0" w:space="0" w:color="auto"/>
        <w:right w:val="none" w:sz="0" w:space="0" w:color="auto"/>
      </w:divBdr>
    </w:div>
    <w:div w:id="1564751138">
      <w:bodyDiv w:val="1"/>
      <w:marLeft w:val="0"/>
      <w:marRight w:val="0"/>
      <w:marTop w:val="0"/>
      <w:marBottom w:val="0"/>
      <w:divBdr>
        <w:top w:val="none" w:sz="0" w:space="0" w:color="auto"/>
        <w:left w:val="none" w:sz="0" w:space="0" w:color="auto"/>
        <w:bottom w:val="none" w:sz="0" w:space="0" w:color="auto"/>
        <w:right w:val="none" w:sz="0" w:space="0" w:color="auto"/>
      </w:divBdr>
    </w:div>
    <w:div w:id="1609044289">
      <w:bodyDiv w:val="1"/>
      <w:marLeft w:val="0"/>
      <w:marRight w:val="0"/>
      <w:marTop w:val="0"/>
      <w:marBottom w:val="0"/>
      <w:divBdr>
        <w:top w:val="none" w:sz="0" w:space="0" w:color="auto"/>
        <w:left w:val="none" w:sz="0" w:space="0" w:color="auto"/>
        <w:bottom w:val="none" w:sz="0" w:space="0" w:color="auto"/>
        <w:right w:val="none" w:sz="0" w:space="0" w:color="auto"/>
      </w:divBdr>
    </w:div>
    <w:div w:id="1625770751">
      <w:bodyDiv w:val="1"/>
      <w:marLeft w:val="0"/>
      <w:marRight w:val="0"/>
      <w:marTop w:val="0"/>
      <w:marBottom w:val="0"/>
      <w:divBdr>
        <w:top w:val="none" w:sz="0" w:space="0" w:color="auto"/>
        <w:left w:val="none" w:sz="0" w:space="0" w:color="auto"/>
        <w:bottom w:val="none" w:sz="0" w:space="0" w:color="auto"/>
        <w:right w:val="none" w:sz="0" w:space="0" w:color="auto"/>
      </w:divBdr>
    </w:div>
    <w:div w:id="1756590341">
      <w:bodyDiv w:val="1"/>
      <w:marLeft w:val="0"/>
      <w:marRight w:val="0"/>
      <w:marTop w:val="0"/>
      <w:marBottom w:val="0"/>
      <w:divBdr>
        <w:top w:val="none" w:sz="0" w:space="0" w:color="auto"/>
        <w:left w:val="none" w:sz="0" w:space="0" w:color="auto"/>
        <w:bottom w:val="none" w:sz="0" w:space="0" w:color="auto"/>
        <w:right w:val="none" w:sz="0" w:space="0" w:color="auto"/>
      </w:divBdr>
    </w:div>
    <w:div w:id="1763338130">
      <w:bodyDiv w:val="1"/>
      <w:marLeft w:val="0"/>
      <w:marRight w:val="0"/>
      <w:marTop w:val="0"/>
      <w:marBottom w:val="0"/>
      <w:divBdr>
        <w:top w:val="none" w:sz="0" w:space="0" w:color="auto"/>
        <w:left w:val="none" w:sz="0" w:space="0" w:color="auto"/>
        <w:bottom w:val="none" w:sz="0" w:space="0" w:color="auto"/>
        <w:right w:val="none" w:sz="0" w:space="0" w:color="auto"/>
      </w:divBdr>
    </w:div>
    <w:div w:id="2003926608">
      <w:bodyDiv w:val="1"/>
      <w:marLeft w:val="0"/>
      <w:marRight w:val="0"/>
      <w:marTop w:val="0"/>
      <w:marBottom w:val="0"/>
      <w:divBdr>
        <w:top w:val="none" w:sz="0" w:space="0" w:color="auto"/>
        <w:left w:val="none" w:sz="0" w:space="0" w:color="auto"/>
        <w:bottom w:val="none" w:sz="0" w:space="0" w:color="auto"/>
        <w:right w:val="none" w:sz="0" w:space="0" w:color="auto"/>
      </w:divBdr>
    </w:div>
    <w:div w:id="208321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kine@helb-prigogine.b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C87F4-E847-436D-AB51-6C4C574F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1622</Words>
  <Characters>8925</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HELB</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icompagnion</dc:creator>
  <cp:lastModifiedBy>BASTAITS Cécile</cp:lastModifiedBy>
  <cp:revision>7</cp:revision>
  <cp:lastPrinted>2017-09-07T14:42:00Z</cp:lastPrinted>
  <dcterms:created xsi:type="dcterms:W3CDTF">2018-09-03T15:13:00Z</dcterms:created>
  <dcterms:modified xsi:type="dcterms:W3CDTF">2018-09-04T12:27:00Z</dcterms:modified>
</cp:coreProperties>
</file>