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A4" w:rsidRPr="00531707" w:rsidRDefault="00D41C1F" w:rsidP="002A31B8">
      <w:pPr>
        <w:spacing w:after="0"/>
        <w:jc w:val="center"/>
        <w:rPr>
          <w:rFonts w:ascii="Verdana" w:hAnsi="Verdana"/>
          <w:b/>
          <w:color w:val="002060"/>
          <w:sz w:val="18"/>
          <w:szCs w:val="18"/>
        </w:rPr>
      </w:pPr>
      <w:r w:rsidRPr="00531707">
        <w:rPr>
          <w:rFonts w:ascii="Verdana" w:hAnsi="Verdana"/>
          <w:b/>
          <w:color w:val="002060"/>
          <w:sz w:val="18"/>
          <w:szCs w:val="18"/>
        </w:rPr>
        <w:t>Erasmus +</w:t>
      </w:r>
    </w:p>
    <w:p w:rsidR="00D41C1F" w:rsidRPr="00531707" w:rsidRDefault="00D41C1F" w:rsidP="00357E56">
      <w:pPr>
        <w:spacing w:after="0"/>
        <w:jc w:val="center"/>
        <w:rPr>
          <w:rFonts w:ascii="Verdana" w:hAnsi="Verdana"/>
          <w:b/>
          <w:color w:val="002060"/>
          <w:sz w:val="18"/>
          <w:szCs w:val="18"/>
        </w:rPr>
      </w:pPr>
      <w:r w:rsidRPr="00531707">
        <w:rPr>
          <w:rFonts w:ascii="Verdana" w:hAnsi="Verdana"/>
          <w:b/>
          <w:color w:val="002060"/>
          <w:sz w:val="18"/>
          <w:szCs w:val="18"/>
        </w:rPr>
        <w:t>Mobilité Enseignement Supérieur</w:t>
      </w:r>
      <w:r w:rsidR="007B5C3A" w:rsidRPr="007B5C3A">
        <w:rPr>
          <w:rFonts w:ascii="Verdana" w:hAnsi="Verdana"/>
          <w:b/>
          <w:color w:val="002060"/>
          <w:sz w:val="18"/>
          <w:szCs w:val="18"/>
        </w:rPr>
        <w:t xml:space="preserve"> </w:t>
      </w:r>
    </w:p>
    <w:p w:rsidR="006D2DA4" w:rsidRPr="00357E56" w:rsidRDefault="00531707" w:rsidP="00357E56">
      <w:pPr>
        <w:spacing w:after="0"/>
        <w:jc w:val="center"/>
        <w:rPr>
          <w:rFonts w:ascii="Verdana" w:hAnsi="Verdana"/>
          <w:b/>
          <w:color w:val="FF0000"/>
          <w:sz w:val="18"/>
          <w:szCs w:val="18"/>
        </w:rPr>
      </w:pPr>
      <w:r w:rsidRPr="00531707">
        <w:rPr>
          <w:rFonts w:ascii="Verdana" w:hAnsi="Verdana"/>
          <w:b/>
          <w:color w:val="FF0000"/>
          <w:sz w:val="18"/>
          <w:szCs w:val="18"/>
        </w:rPr>
        <w:t>Taux 2016</w:t>
      </w:r>
    </w:p>
    <w:p w:rsidR="00D41C1F" w:rsidRPr="00531707" w:rsidRDefault="00D41C1F" w:rsidP="00D41C1F">
      <w:pPr>
        <w:keepNext/>
        <w:numPr>
          <w:ilvl w:val="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920"/>
        </w:tabs>
        <w:spacing w:after="240" w:line="240" w:lineRule="auto"/>
        <w:ind w:left="720" w:hanging="720"/>
        <w:jc w:val="both"/>
        <w:outlineLvl w:val="2"/>
        <w:rPr>
          <w:rFonts w:ascii="Verdana" w:eastAsia="Times New Roman" w:hAnsi="Verdana" w:cs="Times New Roman"/>
          <w:b/>
          <w:color w:val="002060"/>
          <w:sz w:val="18"/>
          <w:szCs w:val="18"/>
          <w:lang w:val="fr-FR"/>
        </w:rPr>
      </w:pPr>
      <w:bookmarkStart w:id="0" w:name="_Toc383782825"/>
      <w:bookmarkStart w:id="1" w:name="_Toc397073485"/>
      <w:r w:rsidRPr="00531707">
        <w:rPr>
          <w:rFonts w:ascii="Verdana" w:eastAsia="Times New Roman" w:hAnsi="Verdana" w:cs="Times New Roman"/>
          <w:b/>
          <w:color w:val="002060"/>
          <w:sz w:val="18"/>
          <w:szCs w:val="18"/>
          <w:lang w:val="fr-FR"/>
        </w:rPr>
        <w:t>Mobilité des personnels</w:t>
      </w:r>
      <w:bookmarkEnd w:id="0"/>
      <w:bookmarkEnd w:id="1"/>
      <w:r w:rsidRPr="00531707">
        <w:rPr>
          <w:rFonts w:ascii="Verdana" w:eastAsia="Times New Roman" w:hAnsi="Verdana" w:cs="Verdana"/>
          <w:b/>
          <w:color w:val="002060"/>
          <w:sz w:val="18"/>
          <w:szCs w:val="18"/>
          <w:lang w:val="fr-FR"/>
        </w:rPr>
        <w:t xml:space="preserve"> (ST)</w:t>
      </w:r>
    </w:p>
    <w:p w:rsidR="00D41C1F" w:rsidRPr="00531707" w:rsidRDefault="00D41C1F" w:rsidP="00D41C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2060"/>
          <w:sz w:val="18"/>
          <w:szCs w:val="18"/>
        </w:rPr>
      </w:pPr>
      <w:r w:rsidRPr="00531707">
        <w:rPr>
          <w:rFonts w:ascii="Verdana" w:eastAsia="Calibri" w:hAnsi="Verdana" w:cs="Verdana"/>
          <w:color w:val="002060"/>
          <w:sz w:val="18"/>
          <w:szCs w:val="18"/>
        </w:rPr>
        <w:t>Deux forfaits :</w:t>
      </w:r>
    </w:p>
    <w:p w:rsidR="00D41C1F" w:rsidRPr="00531707" w:rsidRDefault="00D41C1F" w:rsidP="00D41C1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2060"/>
          <w:sz w:val="18"/>
          <w:szCs w:val="18"/>
        </w:rPr>
      </w:pPr>
      <w:r w:rsidRPr="00531707">
        <w:rPr>
          <w:rFonts w:ascii="Verdana" w:eastAsia="Calibri" w:hAnsi="Verdana" w:cs="Verdana"/>
          <w:color w:val="002060"/>
          <w:sz w:val="18"/>
          <w:szCs w:val="18"/>
        </w:rPr>
        <w:t>Frais de séjour : taux de bourse journalier</w:t>
      </w:r>
    </w:p>
    <w:p w:rsidR="00D41C1F" w:rsidRPr="00531707" w:rsidRDefault="00D41C1F" w:rsidP="00D41C1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2060"/>
          <w:sz w:val="18"/>
          <w:szCs w:val="18"/>
        </w:rPr>
      </w:pPr>
      <w:r w:rsidRPr="00531707">
        <w:rPr>
          <w:rFonts w:ascii="Verdana" w:eastAsia="Calibri" w:hAnsi="Verdana" w:cs="Verdana"/>
          <w:color w:val="002060"/>
          <w:sz w:val="18"/>
          <w:szCs w:val="18"/>
        </w:rPr>
        <w:t>Frais de voyage en fonction de la distance parcourue</w:t>
      </w:r>
    </w:p>
    <w:p w:rsidR="00531707" w:rsidRPr="00531707" w:rsidRDefault="00531707" w:rsidP="00D41C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  <w:b/>
          <w:i/>
          <w:color w:val="002060"/>
          <w:sz w:val="18"/>
          <w:szCs w:val="18"/>
        </w:rPr>
      </w:pPr>
    </w:p>
    <w:p w:rsidR="00D41C1F" w:rsidRPr="00531707" w:rsidRDefault="00D41C1F" w:rsidP="00D41C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  <w:b/>
          <w:i/>
          <w:color w:val="002060"/>
          <w:sz w:val="18"/>
          <w:szCs w:val="18"/>
        </w:rPr>
      </w:pPr>
      <w:r w:rsidRPr="00531707">
        <w:rPr>
          <w:rFonts w:ascii="Verdana" w:eastAsia="Calibri" w:hAnsi="Verdana" w:cs="Calibri"/>
          <w:b/>
          <w:i/>
          <w:color w:val="002060"/>
          <w:sz w:val="18"/>
          <w:szCs w:val="18"/>
        </w:rPr>
        <w:t>Frais de séjour</w:t>
      </w:r>
    </w:p>
    <w:p w:rsidR="00D41C1F" w:rsidRPr="00531707" w:rsidRDefault="00D41C1F" w:rsidP="00D41C1F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18"/>
          <w:szCs w:val="18"/>
        </w:rPr>
      </w:pPr>
      <w:r w:rsidRPr="00531707">
        <w:rPr>
          <w:rFonts w:ascii="Verdana" w:eastAsia="Times New Roman" w:hAnsi="Verdana" w:cs="Verdana"/>
          <w:color w:val="002060"/>
          <w:sz w:val="18"/>
          <w:szCs w:val="18"/>
        </w:rPr>
        <w:t>Pour la mobilité des personnels de l'éducation, le programme Erasmus+ répartit les pays participant au programme en 4 catégories selon le niveau du coût de la vie dans chacun de ces pays et module les taux de bourse suivant cette classification.</w:t>
      </w:r>
    </w:p>
    <w:p w:rsidR="00D41C1F" w:rsidRPr="00531707" w:rsidRDefault="00D41C1F" w:rsidP="00D41C1F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18"/>
          <w:szCs w:val="18"/>
        </w:rPr>
      </w:pPr>
      <w:r w:rsidRPr="00531707">
        <w:rPr>
          <w:rFonts w:ascii="Verdana" w:eastAsia="Times New Roman" w:hAnsi="Verdana" w:cs="Verdana"/>
          <w:color w:val="002060"/>
          <w:sz w:val="18"/>
          <w:szCs w:val="18"/>
        </w:rPr>
        <w:t>Il ne s'agit pas de taux minima ou maxima mais bien de</w:t>
      </w:r>
      <w:r w:rsidRPr="00531707">
        <w:rPr>
          <w:rFonts w:ascii="Verdana" w:eastAsia="Times New Roman" w:hAnsi="Verdana" w:cs="Verdana"/>
          <w:b/>
          <w:color w:val="002060"/>
          <w:sz w:val="18"/>
          <w:szCs w:val="18"/>
        </w:rPr>
        <w:t xml:space="preserve"> </w:t>
      </w:r>
      <w:r w:rsidRPr="00357E56">
        <w:rPr>
          <w:rFonts w:ascii="Verdana" w:eastAsia="Times New Roman" w:hAnsi="Verdana" w:cs="Verdana"/>
          <w:i/>
          <w:color w:val="002060"/>
          <w:sz w:val="18"/>
          <w:szCs w:val="18"/>
        </w:rPr>
        <w:t>montants forfaitaires fixes.</w:t>
      </w:r>
    </w:p>
    <w:p w:rsidR="00D41C1F" w:rsidRPr="00531707" w:rsidRDefault="00D41C1F" w:rsidP="00D41C1F">
      <w:pPr>
        <w:spacing w:after="0" w:line="240" w:lineRule="auto"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5307"/>
        <w:gridCol w:w="2465"/>
      </w:tblGrid>
      <w:tr w:rsidR="00531707" w:rsidRPr="00531707" w:rsidTr="00531707">
        <w:trPr>
          <w:trHeight w:val="990"/>
        </w:trPr>
        <w:tc>
          <w:tcPr>
            <w:tcW w:w="816" w:type="pct"/>
            <w:noWrap/>
          </w:tcPr>
          <w:p w:rsidR="00531707" w:rsidRPr="00531707" w:rsidRDefault="00531707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eastAsia="fr-BE"/>
              </w:rPr>
            </w:pPr>
            <w:r w:rsidRPr="00531707"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eastAsia="fr-BE"/>
              </w:rPr>
              <w:t>Taux 2016</w:t>
            </w:r>
          </w:p>
        </w:tc>
        <w:tc>
          <w:tcPr>
            <w:tcW w:w="2857" w:type="pct"/>
            <w:noWrap/>
          </w:tcPr>
          <w:p w:rsidR="00531707" w:rsidRPr="00531707" w:rsidRDefault="00531707" w:rsidP="00D4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val="en-GB" w:eastAsia="fr-BE"/>
              </w:rPr>
              <w:t>Pays de destination</w:t>
            </w:r>
          </w:p>
        </w:tc>
        <w:tc>
          <w:tcPr>
            <w:tcW w:w="1327" w:type="pct"/>
          </w:tcPr>
          <w:p w:rsidR="00531707" w:rsidRPr="00531707" w:rsidRDefault="00531707" w:rsidP="00D4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eastAsia="fr-BE"/>
              </w:rPr>
            </w:pPr>
            <w:r w:rsidRPr="00531707"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eastAsia="fr-BE"/>
              </w:rPr>
              <w:t xml:space="preserve">Taux journalier </w:t>
            </w:r>
            <w:r w:rsidRPr="00531707"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eastAsia="fr-BE"/>
              </w:rPr>
              <w:br/>
              <w:t>jusqu'au 14ème jour d'activité (€)</w:t>
            </w:r>
          </w:p>
        </w:tc>
      </w:tr>
      <w:tr w:rsidR="00531707" w:rsidRPr="00531707" w:rsidTr="00531707">
        <w:trPr>
          <w:trHeight w:val="877"/>
        </w:trPr>
        <w:tc>
          <w:tcPr>
            <w:tcW w:w="816" w:type="pct"/>
            <w:noWrap/>
          </w:tcPr>
          <w:p w:rsidR="00531707" w:rsidRPr="00531707" w:rsidRDefault="00531707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proofErr w:type="spellStart"/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Groupe</w:t>
            </w:r>
            <w:proofErr w:type="spellEnd"/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 xml:space="preserve"> 1</w:t>
            </w:r>
          </w:p>
        </w:tc>
        <w:tc>
          <w:tcPr>
            <w:tcW w:w="2857" w:type="pct"/>
          </w:tcPr>
          <w:p w:rsidR="00531707" w:rsidRPr="00531707" w:rsidRDefault="00531707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BE"/>
              </w:rPr>
              <w:t xml:space="preserve">Danemark, Irlande, Pays-Bas, Suède, Royaume-Uni </w:t>
            </w:r>
          </w:p>
        </w:tc>
        <w:tc>
          <w:tcPr>
            <w:tcW w:w="1327" w:type="pct"/>
            <w:vAlign w:val="bottom"/>
          </w:tcPr>
          <w:p w:rsidR="00531707" w:rsidRPr="00531707" w:rsidRDefault="00531707" w:rsidP="00FB1937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</w:p>
          <w:p w:rsidR="00531707" w:rsidRPr="00531707" w:rsidRDefault="00531707" w:rsidP="00FB1937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  <w:r w:rsidRPr="00531707">
              <w:rPr>
                <w:rFonts w:ascii="Verdana" w:hAnsi="Verdana"/>
                <w:color w:val="002060"/>
                <w:sz w:val="18"/>
                <w:szCs w:val="18"/>
                <w:lang w:val="en-GB"/>
              </w:rPr>
              <w:t>120</w:t>
            </w:r>
          </w:p>
        </w:tc>
      </w:tr>
      <w:tr w:rsidR="00531707" w:rsidRPr="00531707" w:rsidTr="00531707">
        <w:trPr>
          <w:trHeight w:val="941"/>
        </w:trPr>
        <w:tc>
          <w:tcPr>
            <w:tcW w:w="816" w:type="pct"/>
            <w:noWrap/>
          </w:tcPr>
          <w:p w:rsidR="00531707" w:rsidRPr="00531707" w:rsidRDefault="00531707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proofErr w:type="spellStart"/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Groupe</w:t>
            </w:r>
            <w:proofErr w:type="spellEnd"/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 xml:space="preserve"> 2</w:t>
            </w:r>
          </w:p>
        </w:tc>
        <w:tc>
          <w:tcPr>
            <w:tcW w:w="2857" w:type="pct"/>
          </w:tcPr>
          <w:p w:rsidR="00531707" w:rsidRPr="00531707" w:rsidRDefault="00531707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BE"/>
              </w:rPr>
              <w:t xml:space="preserve">Autriche, Belgique, Bulgarie, Chypre, République Tchèque, Finlande, France,  Grèce, Hongrie, Islande, Italie, Liechtenstein, Luxembourg, Norvège, Pologne, Roumanie, Turquie </w:t>
            </w:r>
          </w:p>
        </w:tc>
        <w:tc>
          <w:tcPr>
            <w:tcW w:w="1327" w:type="pct"/>
            <w:vAlign w:val="bottom"/>
          </w:tcPr>
          <w:p w:rsidR="00531707" w:rsidRPr="00531707" w:rsidRDefault="00531707" w:rsidP="00FB1937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</w:p>
          <w:p w:rsidR="00531707" w:rsidRPr="00531707" w:rsidRDefault="00531707" w:rsidP="00FB1937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  <w:r w:rsidRPr="00531707">
              <w:rPr>
                <w:rFonts w:ascii="Verdana" w:hAnsi="Verdana"/>
                <w:color w:val="002060"/>
                <w:sz w:val="18"/>
                <w:szCs w:val="18"/>
                <w:lang w:val="en-GB"/>
              </w:rPr>
              <w:t>105</w:t>
            </w:r>
          </w:p>
        </w:tc>
      </w:tr>
      <w:tr w:rsidR="00531707" w:rsidRPr="00531707" w:rsidTr="00531707">
        <w:trPr>
          <w:trHeight w:val="675"/>
        </w:trPr>
        <w:tc>
          <w:tcPr>
            <w:tcW w:w="816" w:type="pct"/>
            <w:noWrap/>
          </w:tcPr>
          <w:p w:rsidR="00531707" w:rsidRPr="00531707" w:rsidRDefault="00531707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proofErr w:type="spellStart"/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Groupe</w:t>
            </w:r>
            <w:proofErr w:type="spellEnd"/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 xml:space="preserve"> 3</w:t>
            </w:r>
          </w:p>
        </w:tc>
        <w:tc>
          <w:tcPr>
            <w:tcW w:w="2857" w:type="pct"/>
          </w:tcPr>
          <w:p w:rsidR="00531707" w:rsidRPr="00531707" w:rsidRDefault="00531707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BE"/>
              </w:rPr>
              <w:t>Ancienne République yougoslave de Macédoine, Allemagne, Lettonie, Malte, Portugal, Slovaquie, Espagne</w:t>
            </w:r>
          </w:p>
        </w:tc>
        <w:tc>
          <w:tcPr>
            <w:tcW w:w="1327" w:type="pct"/>
            <w:vAlign w:val="bottom"/>
          </w:tcPr>
          <w:p w:rsidR="00531707" w:rsidRPr="00531707" w:rsidRDefault="00531707" w:rsidP="00FB1937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</w:p>
          <w:p w:rsidR="00531707" w:rsidRPr="00531707" w:rsidRDefault="00531707" w:rsidP="00FB1937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  <w:r w:rsidRPr="00531707">
              <w:rPr>
                <w:rFonts w:ascii="Verdana" w:hAnsi="Verdana"/>
                <w:color w:val="002060"/>
                <w:sz w:val="18"/>
                <w:szCs w:val="18"/>
              </w:rPr>
              <w:t>90</w:t>
            </w:r>
          </w:p>
        </w:tc>
      </w:tr>
      <w:tr w:rsidR="00531707" w:rsidRPr="00531707" w:rsidTr="00531707">
        <w:trPr>
          <w:trHeight w:val="456"/>
        </w:trPr>
        <w:tc>
          <w:tcPr>
            <w:tcW w:w="816" w:type="pct"/>
            <w:noWrap/>
          </w:tcPr>
          <w:p w:rsidR="00531707" w:rsidRPr="00531707" w:rsidRDefault="00531707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proofErr w:type="spellStart"/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Groupe</w:t>
            </w:r>
            <w:proofErr w:type="spellEnd"/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 xml:space="preserve"> 4</w:t>
            </w:r>
          </w:p>
        </w:tc>
        <w:tc>
          <w:tcPr>
            <w:tcW w:w="2857" w:type="pct"/>
          </w:tcPr>
          <w:p w:rsidR="00531707" w:rsidRPr="00531707" w:rsidRDefault="00531707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BE"/>
              </w:rPr>
              <w:t xml:space="preserve">Croatie, Estonie, Lituanie, Slovénie </w:t>
            </w:r>
          </w:p>
        </w:tc>
        <w:tc>
          <w:tcPr>
            <w:tcW w:w="1327" w:type="pct"/>
            <w:vAlign w:val="bottom"/>
          </w:tcPr>
          <w:p w:rsidR="00531707" w:rsidRPr="00531707" w:rsidRDefault="00531707" w:rsidP="00FB1937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  <w:r w:rsidRPr="00531707">
              <w:rPr>
                <w:rFonts w:ascii="Verdana" w:hAnsi="Verdana"/>
                <w:color w:val="002060"/>
                <w:sz w:val="18"/>
                <w:szCs w:val="18"/>
                <w:lang w:val="en-GB"/>
              </w:rPr>
              <w:t>75</w:t>
            </w:r>
          </w:p>
        </w:tc>
      </w:tr>
    </w:tbl>
    <w:p w:rsidR="00531707" w:rsidRPr="00531707" w:rsidRDefault="00531707" w:rsidP="00531707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Tahoma"/>
          <w:snapToGrid w:val="0"/>
          <w:color w:val="002060"/>
          <w:kern w:val="3"/>
          <w:sz w:val="18"/>
          <w:szCs w:val="18"/>
          <w:lang w:eastAsia="zh-CN"/>
        </w:rPr>
      </w:pPr>
      <w:bookmarkStart w:id="2" w:name="_GoBack"/>
      <w:bookmarkEnd w:id="2"/>
    </w:p>
    <w:p w:rsidR="00D41C1F" w:rsidRPr="00531707" w:rsidRDefault="00531707" w:rsidP="00531707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Tahoma"/>
          <w:snapToGrid w:val="0"/>
          <w:kern w:val="3"/>
          <w:sz w:val="18"/>
          <w:szCs w:val="18"/>
          <w:lang w:eastAsia="zh-CN"/>
        </w:rPr>
      </w:pPr>
      <w:r w:rsidRPr="00531707">
        <w:rPr>
          <w:rFonts w:ascii="Verdana" w:eastAsia="Times New Roman" w:hAnsi="Verdana" w:cs="Times New Roman"/>
          <w:snapToGrid w:val="0"/>
          <w:color w:val="002060"/>
          <w:sz w:val="18"/>
          <w:szCs w:val="18"/>
          <w:lang w:val="fr-FR" w:eastAsia="fr-BE"/>
        </w:rPr>
        <w:t xml:space="preserve"> </w:t>
      </w:r>
      <w:r w:rsidR="00D41C1F" w:rsidRPr="00531707">
        <w:rPr>
          <w:rFonts w:ascii="Verdana" w:eastAsia="Times New Roman" w:hAnsi="Verdana" w:cs="Times New Roman"/>
          <w:snapToGrid w:val="0"/>
          <w:color w:val="002060"/>
          <w:sz w:val="18"/>
          <w:szCs w:val="18"/>
          <w:lang w:val="fr-FR" w:eastAsia="fr-BE"/>
        </w:rPr>
        <w:t>Le bénéficiaire peut décider de comptabiliser une journée supplémentaire pour le voyage la veille  du premier jour d’activité à l’étranger et/ou le lendemain du dernier jour d’activité à l’étranger, cette/ces journée(s) est/sont ajoutée(s) à la durée de la période de mobilité et est/sont également prise(s) en compte pour le calcul des frais de séjour.</w:t>
      </w:r>
    </w:p>
    <w:p w:rsidR="00D41C1F" w:rsidRPr="00531707" w:rsidRDefault="00D41C1F" w:rsidP="00D41C1F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18"/>
          <w:szCs w:val="18"/>
          <w:lang w:val="fr-FR" w:eastAsia="fr-BE"/>
        </w:rPr>
      </w:pPr>
    </w:p>
    <w:p w:rsidR="00D41C1F" w:rsidRPr="00531707" w:rsidRDefault="00D41C1F" w:rsidP="00D41C1F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2060"/>
          <w:sz w:val="18"/>
          <w:szCs w:val="18"/>
        </w:rPr>
      </w:pPr>
      <w:r w:rsidRPr="00531707">
        <w:rPr>
          <w:rFonts w:ascii="Verdana" w:eastAsia="Times New Roman" w:hAnsi="Verdana" w:cs="Times New Roman"/>
          <w:b/>
          <w:i/>
          <w:color w:val="002060"/>
          <w:sz w:val="18"/>
          <w:szCs w:val="18"/>
        </w:rPr>
        <w:t>Frais de voyage</w:t>
      </w:r>
    </w:p>
    <w:p w:rsidR="00D41C1F" w:rsidRPr="00531707" w:rsidRDefault="00D41C1F" w:rsidP="00D41C1F">
      <w:pPr>
        <w:spacing w:after="0" w:line="240" w:lineRule="auto"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  <w:r w:rsidRPr="00531707">
        <w:rPr>
          <w:rFonts w:ascii="Verdana" w:eastAsia="Times New Roman" w:hAnsi="Verdana" w:cs="Times New Roman"/>
          <w:color w:val="002060"/>
          <w:sz w:val="18"/>
          <w:szCs w:val="18"/>
        </w:rPr>
        <w:t xml:space="preserve">La contribution aux frais de voyage porte sur les trajets </w:t>
      </w:r>
      <w:proofErr w:type="gramStart"/>
      <w:r w:rsidRPr="00531707">
        <w:rPr>
          <w:rFonts w:ascii="Verdana" w:eastAsia="Times New Roman" w:hAnsi="Verdana" w:cs="Times New Roman"/>
          <w:color w:val="002060"/>
          <w:sz w:val="18"/>
          <w:szCs w:val="18"/>
        </w:rPr>
        <w:t>aller</w:t>
      </w:r>
      <w:proofErr w:type="gramEnd"/>
      <w:r w:rsidRPr="00531707">
        <w:rPr>
          <w:rFonts w:ascii="Verdana" w:eastAsia="Times New Roman" w:hAnsi="Verdana" w:cs="Times New Roman"/>
          <w:color w:val="002060"/>
          <w:sz w:val="18"/>
          <w:szCs w:val="18"/>
        </w:rPr>
        <w:t xml:space="preserve"> et retour vers le lieu du séjour. Elle est calculée sur base de la distance parcourue selon les tranches kilométriques et les montants repris dans le tableau ci-dessous. Attention, seul le trajet </w:t>
      </w:r>
      <w:proofErr w:type="gramStart"/>
      <w:r w:rsidRPr="00531707">
        <w:rPr>
          <w:rFonts w:ascii="Verdana" w:eastAsia="Times New Roman" w:hAnsi="Verdana" w:cs="Times New Roman"/>
          <w:color w:val="002060"/>
          <w:sz w:val="18"/>
          <w:szCs w:val="18"/>
        </w:rPr>
        <w:t>aller</w:t>
      </w:r>
      <w:proofErr w:type="gramEnd"/>
      <w:r w:rsidRPr="00531707">
        <w:rPr>
          <w:rFonts w:ascii="Verdana" w:eastAsia="Times New Roman" w:hAnsi="Verdana" w:cs="Times New Roman"/>
          <w:color w:val="002060"/>
          <w:sz w:val="18"/>
          <w:szCs w:val="18"/>
        </w:rPr>
        <w:t xml:space="preserve"> doit être pris en compte dans la détermination de la distance et du taux.</w:t>
      </w:r>
    </w:p>
    <w:p w:rsidR="00D41C1F" w:rsidRPr="00531707" w:rsidRDefault="00D41C1F" w:rsidP="00D41C1F">
      <w:pPr>
        <w:spacing w:after="0" w:line="240" w:lineRule="auto"/>
        <w:jc w:val="both"/>
        <w:rPr>
          <w:rFonts w:ascii="Verdana" w:eastAsia="Times New Roman" w:hAnsi="Verdana" w:cs="Times New Roman"/>
          <w:color w:val="002060"/>
          <w:sz w:val="18"/>
          <w:szCs w:val="18"/>
          <w:u w:val="single"/>
        </w:rPr>
      </w:pPr>
      <w:r w:rsidRPr="00531707">
        <w:rPr>
          <w:rFonts w:ascii="Verdana" w:eastAsia="Times New Roman" w:hAnsi="Verdana" w:cs="Times New Roman"/>
          <w:color w:val="002060"/>
          <w:sz w:val="18"/>
          <w:szCs w:val="18"/>
        </w:rPr>
        <w:t xml:space="preserve">Un outil de calcul de la distance a été développé par la Commission et doit impérativement être utilisé: </w:t>
      </w:r>
      <w:hyperlink r:id="rId9" w:history="1">
        <w:r w:rsidRPr="00531707">
          <w:rPr>
            <w:rFonts w:ascii="Verdana" w:eastAsia="Times New Roman" w:hAnsi="Verdana" w:cs="Times New Roman"/>
            <w:color w:val="002060"/>
            <w:sz w:val="18"/>
            <w:szCs w:val="18"/>
            <w:u w:val="single"/>
          </w:rPr>
          <w:t>http://ec.europa.eu/programmes/erasmus-plus/tools/distance_fr.htm</w:t>
        </w:r>
      </w:hyperlink>
      <w:r w:rsidRPr="00531707">
        <w:rPr>
          <w:rFonts w:ascii="Verdana" w:eastAsia="Times New Roman" w:hAnsi="Verdana" w:cs="Times New Roman"/>
          <w:color w:val="002060"/>
          <w:sz w:val="18"/>
          <w:szCs w:val="18"/>
          <w:u w:val="single"/>
        </w:rPr>
        <w:t>.</w:t>
      </w:r>
    </w:p>
    <w:p w:rsidR="00D41C1F" w:rsidRPr="00531707" w:rsidRDefault="00D41C1F" w:rsidP="00D41C1F">
      <w:pPr>
        <w:spacing w:after="0" w:line="240" w:lineRule="auto"/>
        <w:jc w:val="both"/>
        <w:rPr>
          <w:rFonts w:ascii="Verdana" w:eastAsia="Times New Roman" w:hAnsi="Verdana" w:cs="Times New Roman"/>
          <w:color w:val="00206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1"/>
        <w:gridCol w:w="2729"/>
      </w:tblGrid>
      <w:tr w:rsidR="00D41C1F" w:rsidRPr="00531707" w:rsidTr="00AA4FE0">
        <w:trPr>
          <w:trHeight w:val="425"/>
        </w:trPr>
        <w:tc>
          <w:tcPr>
            <w:tcW w:w="6451" w:type="dxa"/>
            <w:noWrap/>
          </w:tcPr>
          <w:p w:rsidR="00D41C1F" w:rsidRPr="00531707" w:rsidRDefault="00D41C1F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val="en-GB" w:eastAsia="fr-BE"/>
              </w:rPr>
              <w:t>Distances</w:t>
            </w:r>
          </w:p>
        </w:tc>
        <w:tc>
          <w:tcPr>
            <w:tcW w:w="2729" w:type="dxa"/>
            <w:noWrap/>
          </w:tcPr>
          <w:p w:rsidR="00D41C1F" w:rsidRPr="00531707" w:rsidRDefault="00D41C1F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val="en-GB" w:eastAsia="fr-BE"/>
              </w:rPr>
            </w:pPr>
            <w:proofErr w:type="spellStart"/>
            <w:r w:rsidRPr="00531707"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val="en-GB" w:eastAsia="fr-BE"/>
              </w:rPr>
              <w:t>Taux</w:t>
            </w:r>
            <w:proofErr w:type="spellEnd"/>
            <w:r w:rsidRPr="00531707">
              <w:rPr>
                <w:rFonts w:ascii="Verdana" w:eastAsia="Times New Roman" w:hAnsi="Verdana" w:cs="Times New Roman"/>
                <w:b/>
                <w:bCs/>
                <w:color w:val="002060"/>
                <w:sz w:val="18"/>
                <w:szCs w:val="18"/>
                <w:lang w:val="en-GB" w:eastAsia="fr-BE"/>
              </w:rPr>
              <w:t xml:space="preserve"> par participant</w:t>
            </w:r>
          </w:p>
        </w:tc>
      </w:tr>
      <w:tr w:rsidR="00D41C1F" w:rsidRPr="00531707" w:rsidTr="00D41C1F">
        <w:trPr>
          <w:trHeight w:val="315"/>
        </w:trPr>
        <w:tc>
          <w:tcPr>
            <w:tcW w:w="6451" w:type="dxa"/>
            <w:noWrap/>
          </w:tcPr>
          <w:p w:rsidR="00D41C1F" w:rsidRPr="00531707" w:rsidRDefault="00D41C1F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Entre 100 et 499 km</w:t>
            </w:r>
          </w:p>
        </w:tc>
        <w:tc>
          <w:tcPr>
            <w:tcW w:w="2729" w:type="dxa"/>
            <w:noWrap/>
          </w:tcPr>
          <w:p w:rsidR="00D41C1F" w:rsidRPr="00531707" w:rsidRDefault="00D41C1F" w:rsidP="00D4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180 €</w:t>
            </w:r>
          </w:p>
        </w:tc>
      </w:tr>
      <w:tr w:rsidR="00D41C1F" w:rsidRPr="00531707" w:rsidTr="00D41C1F">
        <w:trPr>
          <w:trHeight w:val="315"/>
        </w:trPr>
        <w:tc>
          <w:tcPr>
            <w:tcW w:w="6451" w:type="dxa"/>
            <w:noWrap/>
          </w:tcPr>
          <w:p w:rsidR="00D41C1F" w:rsidRPr="00531707" w:rsidRDefault="00D41C1F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Entre 500 et 1.999 km</w:t>
            </w:r>
          </w:p>
        </w:tc>
        <w:tc>
          <w:tcPr>
            <w:tcW w:w="2729" w:type="dxa"/>
            <w:noWrap/>
          </w:tcPr>
          <w:p w:rsidR="00D41C1F" w:rsidRPr="00531707" w:rsidRDefault="00D41C1F" w:rsidP="00D4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275 €</w:t>
            </w:r>
          </w:p>
        </w:tc>
      </w:tr>
      <w:tr w:rsidR="00D41C1F" w:rsidRPr="00531707" w:rsidTr="00D41C1F">
        <w:trPr>
          <w:trHeight w:val="315"/>
        </w:trPr>
        <w:tc>
          <w:tcPr>
            <w:tcW w:w="6451" w:type="dxa"/>
            <w:noWrap/>
          </w:tcPr>
          <w:p w:rsidR="00D41C1F" w:rsidRPr="00531707" w:rsidRDefault="00D41C1F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Entre 2.000 et 2.999 km</w:t>
            </w:r>
          </w:p>
        </w:tc>
        <w:tc>
          <w:tcPr>
            <w:tcW w:w="2729" w:type="dxa"/>
            <w:noWrap/>
          </w:tcPr>
          <w:p w:rsidR="00D41C1F" w:rsidRPr="00531707" w:rsidRDefault="00D41C1F" w:rsidP="00D4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360 €</w:t>
            </w:r>
          </w:p>
        </w:tc>
      </w:tr>
      <w:tr w:rsidR="00D41C1F" w:rsidRPr="00531707" w:rsidTr="00D41C1F">
        <w:trPr>
          <w:trHeight w:val="315"/>
        </w:trPr>
        <w:tc>
          <w:tcPr>
            <w:tcW w:w="6451" w:type="dxa"/>
            <w:noWrap/>
          </w:tcPr>
          <w:p w:rsidR="00D41C1F" w:rsidRPr="00531707" w:rsidRDefault="00D41C1F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Entre 3.000 et 3.999 km</w:t>
            </w:r>
          </w:p>
        </w:tc>
        <w:tc>
          <w:tcPr>
            <w:tcW w:w="2729" w:type="dxa"/>
            <w:noWrap/>
          </w:tcPr>
          <w:p w:rsidR="00D41C1F" w:rsidRPr="00531707" w:rsidRDefault="00D41C1F" w:rsidP="00D4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530 €</w:t>
            </w:r>
          </w:p>
        </w:tc>
      </w:tr>
      <w:tr w:rsidR="00D41C1F" w:rsidRPr="00531707" w:rsidTr="00D41C1F">
        <w:trPr>
          <w:trHeight w:val="315"/>
        </w:trPr>
        <w:tc>
          <w:tcPr>
            <w:tcW w:w="6451" w:type="dxa"/>
            <w:noWrap/>
          </w:tcPr>
          <w:p w:rsidR="00D41C1F" w:rsidRPr="00531707" w:rsidRDefault="00D41C1F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Entre 4.000 et 7.999 km</w:t>
            </w:r>
          </w:p>
        </w:tc>
        <w:tc>
          <w:tcPr>
            <w:tcW w:w="2729" w:type="dxa"/>
            <w:noWrap/>
          </w:tcPr>
          <w:p w:rsidR="00D41C1F" w:rsidRPr="00531707" w:rsidRDefault="00D41C1F" w:rsidP="00D4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820 €</w:t>
            </w:r>
          </w:p>
        </w:tc>
      </w:tr>
      <w:tr w:rsidR="00D41C1F" w:rsidRPr="00531707" w:rsidTr="00D41C1F">
        <w:trPr>
          <w:trHeight w:val="330"/>
        </w:trPr>
        <w:tc>
          <w:tcPr>
            <w:tcW w:w="6451" w:type="dxa"/>
            <w:noWrap/>
          </w:tcPr>
          <w:p w:rsidR="00D41C1F" w:rsidRPr="00531707" w:rsidRDefault="00D41C1F" w:rsidP="00D41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>8000 km et plus</w:t>
            </w:r>
          </w:p>
        </w:tc>
        <w:tc>
          <w:tcPr>
            <w:tcW w:w="2729" w:type="dxa"/>
            <w:noWrap/>
          </w:tcPr>
          <w:p w:rsidR="00D41C1F" w:rsidRPr="00531707" w:rsidRDefault="00D41C1F" w:rsidP="00D41C1F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</w:pPr>
            <w:r w:rsidRPr="00531707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val="en-GB" w:eastAsia="fr-BE"/>
              </w:rPr>
              <w:t xml:space="preserve"> €</w:t>
            </w:r>
          </w:p>
        </w:tc>
      </w:tr>
    </w:tbl>
    <w:p w:rsidR="006D2DA4" w:rsidRPr="00531707" w:rsidRDefault="006D2DA4" w:rsidP="006D2DA4">
      <w:pPr>
        <w:rPr>
          <w:rFonts w:ascii="Verdana" w:hAnsi="Verdana"/>
          <w:b/>
          <w:sz w:val="18"/>
          <w:szCs w:val="18"/>
        </w:rPr>
      </w:pPr>
    </w:p>
    <w:sectPr w:rsidR="006D2DA4" w:rsidRPr="0053170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1F" w:rsidRDefault="00D41C1F" w:rsidP="00D41C1F">
      <w:pPr>
        <w:spacing w:after="0" w:line="240" w:lineRule="auto"/>
      </w:pPr>
      <w:r>
        <w:separator/>
      </w:r>
    </w:p>
  </w:endnote>
  <w:endnote w:type="continuationSeparator" w:id="0">
    <w:p w:rsidR="00D41C1F" w:rsidRDefault="00D41C1F" w:rsidP="00D4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1F" w:rsidRPr="00D41C1F" w:rsidRDefault="00531707">
    <w:pPr>
      <w:pStyle w:val="Pieddepage"/>
      <w:rPr>
        <w:color w:val="002060"/>
      </w:rPr>
    </w:pPr>
    <w:r>
      <w:rPr>
        <w:color w:val="002060"/>
      </w:rPr>
      <w:t xml:space="preserve">E+ - Mobilité - ES – </w:t>
    </w:r>
    <w:r w:rsidR="007B5C3A">
      <w:rPr>
        <w:color w:val="002060"/>
      </w:rPr>
      <w:t xml:space="preserve">AC103 - </w:t>
    </w:r>
    <w:r>
      <w:rPr>
        <w:color w:val="002060"/>
      </w:rPr>
      <w:t>Taux 2016</w:t>
    </w:r>
  </w:p>
  <w:p w:rsidR="00D41C1F" w:rsidRDefault="00D41C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1F" w:rsidRDefault="00D41C1F" w:rsidP="00D41C1F">
      <w:pPr>
        <w:spacing w:after="0" w:line="240" w:lineRule="auto"/>
      </w:pPr>
      <w:r>
        <w:separator/>
      </w:r>
    </w:p>
  </w:footnote>
  <w:footnote w:type="continuationSeparator" w:id="0">
    <w:p w:rsidR="00D41C1F" w:rsidRDefault="00D41C1F" w:rsidP="00D4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E5A"/>
    <w:multiLevelType w:val="hybridMultilevel"/>
    <w:tmpl w:val="3F621B06"/>
    <w:lvl w:ilvl="0" w:tplc="A6DE05E2">
      <w:start w:val="2"/>
      <w:numFmt w:val="bullet"/>
      <w:lvlText w:val="-"/>
      <w:lvlJc w:val="left"/>
      <w:pPr>
        <w:ind w:left="780" w:hanging="360"/>
      </w:pPr>
      <w:rPr>
        <w:rFonts w:ascii="Verdana" w:eastAsia="Times New Roman" w:hAnsi="Verdana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226D91"/>
    <w:multiLevelType w:val="multilevel"/>
    <w:tmpl w:val="5928B502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00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CAD4DB2"/>
    <w:multiLevelType w:val="hybridMultilevel"/>
    <w:tmpl w:val="5B4A7F42"/>
    <w:lvl w:ilvl="0" w:tplc="A6DE05E2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083EC6"/>
    <w:multiLevelType w:val="hybridMultilevel"/>
    <w:tmpl w:val="0C00B9B8"/>
    <w:lvl w:ilvl="0" w:tplc="EA74EC4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2E"/>
    <w:rsid w:val="000744F9"/>
    <w:rsid w:val="001C386D"/>
    <w:rsid w:val="002A31B8"/>
    <w:rsid w:val="002C4BF8"/>
    <w:rsid w:val="00357E56"/>
    <w:rsid w:val="00531707"/>
    <w:rsid w:val="0055161B"/>
    <w:rsid w:val="006D2DA4"/>
    <w:rsid w:val="00743A5D"/>
    <w:rsid w:val="0079692E"/>
    <w:rsid w:val="007B5C3A"/>
    <w:rsid w:val="00AA4FE0"/>
    <w:rsid w:val="00B71CAA"/>
    <w:rsid w:val="00D41C1F"/>
    <w:rsid w:val="00F903BB"/>
    <w:rsid w:val="00FB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1C1F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41C1F"/>
    <w:pPr>
      <w:ind w:left="720"/>
      <w:contextualSpacing/>
    </w:pPr>
  </w:style>
  <w:style w:type="character" w:styleId="Appelnotedebasdep">
    <w:name w:val="footnote reference"/>
    <w:uiPriority w:val="99"/>
    <w:semiHidden/>
    <w:rsid w:val="00D41C1F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4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C1F"/>
  </w:style>
  <w:style w:type="paragraph" w:styleId="Pieddepage">
    <w:name w:val="footer"/>
    <w:basedOn w:val="Normal"/>
    <w:link w:val="PieddepageCar"/>
    <w:uiPriority w:val="99"/>
    <w:unhideWhenUsed/>
    <w:rsid w:val="00D4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C1F"/>
  </w:style>
  <w:style w:type="paragraph" w:styleId="Textedebulles">
    <w:name w:val="Balloon Text"/>
    <w:basedOn w:val="Normal"/>
    <w:link w:val="TextedebullesCar"/>
    <w:uiPriority w:val="99"/>
    <w:semiHidden/>
    <w:unhideWhenUsed/>
    <w:rsid w:val="00D4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1C1F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41C1F"/>
    <w:pPr>
      <w:ind w:left="720"/>
      <w:contextualSpacing/>
    </w:pPr>
  </w:style>
  <w:style w:type="character" w:styleId="Appelnotedebasdep">
    <w:name w:val="footnote reference"/>
    <w:uiPriority w:val="99"/>
    <w:semiHidden/>
    <w:rsid w:val="00D41C1F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4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C1F"/>
  </w:style>
  <w:style w:type="paragraph" w:styleId="Pieddepage">
    <w:name w:val="footer"/>
    <w:basedOn w:val="Normal"/>
    <w:link w:val="PieddepageCar"/>
    <w:uiPriority w:val="99"/>
    <w:unhideWhenUsed/>
    <w:rsid w:val="00D4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C1F"/>
  </w:style>
  <w:style w:type="paragraph" w:styleId="Textedebulles">
    <w:name w:val="Balloon Text"/>
    <w:basedOn w:val="Normal"/>
    <w:link w:val="TextedebullesCar"/>
    <w:uiPriority w:val="99"/>
    <w:semiHidden/>
    <w:unhideWhenUsed/>
    <w:rsid w:val="00D4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programmes/erasmus-plus/tools/distance_fr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4CA1-43AA-4DD2-BDA0-BC42E31D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DELBASCOURT Mélanie</dc:creator>
  <cp:lastModifiedBy>ROBERT Michaël</cp:lastModifiedBy>
  <cp:revision>4</cp:revision>
  <dcterms:created xsi:type="dcterms:W3CDTF">2016-02-03T13:24:00Z</dcterms:created>
  <dcterms:modified xsi:type="dcterms:W3CDTF">2016-02-03T14:25:00Z</dcterms:modified>
</cp:coreProperties>
</file>